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A" w:rsidRPr="0080373E" w:rsidRDefault="00B3515A" w:rsidP="0080373E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EFEITO DE LEITE SABORIZADO COM POLPA DE MAÇÃ NO PESO DO FÍGADO DE </w:t>
      </w:r>
      <w:r w:rsidRPr="0080373E">
        <w:rPr>
          <w:b/>
          <w:bCs/>
        </w:rPr>
        <w:t>RATOS WISTAR FÊMEAS (</w:t>
      </w:r>
      <w:r w:rsidRPr="0080373E">
        <w:rPr>
          <w:b/>
          <w:bCs/>
          <w:i/>
          <w:iCs/>
        </w:rPr>
        <w:t>Rattus norvergicus</w:t>
      </w:r>
      <w:r w:rsidRPr="0080373E">
        <w:rPr>
          <w:b/>
          <w:bCs/>
        </w:rPr>
        <w:t>)</w:t>
      </w:r>
    </w:p>
    <w:p w:rsidR="00B3515A" w:rsidRPr="0080373E" w:rsidRDefault="00B3515A" w:rsidP="0080373E">
      <w:pPr>
        <w:ind w:firstLine="0"/>
        <w:rPr>
          <w:b/>
          <w:bCs/>
        </w:rPr>
      </w:pPr>
    </w:p>
    <w:p w:rsidR="00B3515A" w:rsidRPr="0080373E" w:rsidRDefault="00B3515A" w:rsidP="007734D9">
      <w:pPr>
        <w:ind w:firstLine="0"/>
        <w:jc w:val="right"/>
        <w:rPr>
          <w:b/>
          <w:bCs/>
        </w:rPr>
      </w:pPr>
      <w:r w:rsidRPr="0080373E">
        <w:rPr>
          <w:b/>
          <w:bCs/>
        </w:rPr>
        <w:t>MADRUGA,  Nathalia de Avila; FERRAZ, Mariana Costa; MARIN, Manoela; RODRIGUES, Rosane da Silva; MACHADO, Mírian Ribeiro Galvão RODRIGUES, Rosane da Silva</w:t>
      </w:r>
    </w:p>
    <w:p w:rsidR="00B3515A" w:rsidRPr="0080373E" w:rsidRDefault="00B3515A" w:rsidP="007734D9">
      <w:pPr>
        <w:ind w:firstLine="0"/>
        <w:jc w:val="right"/>
        <w:rPr>
          <w:b/>
          <w:bCs/>
        </w:rPr>
      </w:pPr>
      <w:r w:rsidRPr="002A5F31">
        <w:t>nathi_madruga@hotmail.com</w:t>
      </w:r>
    </w:p>
    <w:p w:rsidR="00B3515A" w:rsidRPr="0080373E" w:rsidRDefault="00B3515A" w:rsidP="007734D9">
      <w:pPr>
        <w:ind w:firstLine="0"/>
        <w:jc w:val="right"/>
        <w:rPr>
          <w:b/>
          <w:bCs/>
        </w:rPr>
      </w:pPr>
      <w:r>
        <w:rPr>
          <w:b/>
          <w:bCs/>
        </w:rPr>
        <w:t xml:space="preserve">Evento: </w:t>
      </w:r>
      <w:r w:rsidRPr="00C63BFD">
        <w:rPr>
          <w:b/>
          <w:bCs/>
          <w:shd w:val="clear" w:color="auto" w:fill="FFFFFF"/>
        </w:rPr>
        <w:t>Congresso de Iniciação Científica</w:t>
      </w:r>
    </w:p>
    <w:p w:rsidR="00B3515A" w:rsidRPr="0080373E" w:rsidRDefault="00B3515A" w:rsidP="007734D9">
      <w:pPr>
        <w:ind w:firstLine="0"/>
        <w:jc w:val="right"/>
        <w:rPr>
          <w:b/>
          <w:bCs/>
        </w:rPr>
      </w:pPr>
      <w:r w:rsidRPr="0080373E">
        <w:rPr>
          <w:b/>
          <w:bCs/>
        </w:rPr>
        <w:t xml:space="preserve">Área do conhecimento: </w:t>
      </w:r>
      <w:r w:rsidRPr="000026C0">
        <w:rPr>
          <w:b/>
          <w:bCs/>
          <w:kern w:val="0"/>
        </w:rPr>
        <w:t>5.07.01.00-2</w:t>
      </w:r>
    </w:p>
    <w:p w:rsidR="00B3515A" w:rsidRPr="0080373E" w:rsidRDefault="00B3515A" w:rsidP="0080373E">
      <w:pPr>
        <w:ind w:firstLine="0"/>
        <w:rPr>
          <w:b/>
          <w:bCs/>
        </w:rPr>
      </w:pPr>
      <w:r w:rsidRPr="0080373E">
        <w:rPr>
          <w:b/>
          <w:bCs/>
        </w:rPr>
        <w:t xml:space="preserve">Palavras-chave </w:t>
      </w:r>
      <w:r w:rsidRPr="0080373E">
        <w:rPr>
          <w:i/>
          <w:iCs/>
        </w:rPr>
        <w:t>Malus</w:t>
      </w:r>
      <w:r>
        <w:rPr>
          <w:i/>
          <w:iCs/>
        </w:rPr>
        <w:t xml:space="preserve"> </w:t>
      </w:r>
      <w:r w:rsidRPr="0080373E">
        <w:rPr>
          <w:i/>
          <w:iCs/>
        </w:rPr>
        <w:t>Domestica</w:t>
      </w:r>
      <w:r>
        <w:rPr>
          <w:i/>
          <w:iCs/>
        </w:rPr>
        <w:t>,</w:t>
      </w:r>
      <w:r>
        <w:t xml:space="preserve"> leite, </w:t>
      </w:r>
      <w:r w:rsidRPr="0080373E">
        <w:t>ensaio biológico</w:t>
      </w:r>
      <w:r>
        <w:t>.</w:t>
      </w:r>
    </w:p>
    <w:p w:rsidR="00B3515A" w:rsidRPr="0080373E" w:rsidRDefault="00B3515A" w:rsidP="0080373E">
      <w:pPr>
        <w:pStyle w:val="Ttulodaseoprimria"/>
        <w:rPr>
          <w:sz w:val="24"/>
          <w:szCs w:val="24"/>
        </w:rPr>
      </w:pPr>
    </w:p>
    <w:p w:rsidR="00B3515A" w:rsidRPr="0080373E" w:rsidRDefault="00B3515A" w:rsidP="0080373E">
      <w:pPr>
        <w:pStyle w:val="Ttulodaseoprimria"/>
        <w:rPr>
          <w:sz w:val="24"/>
          <w:szCs w:val="24"/>
        </w:rPr>
      </w:pPr>
      <w:r w:rsidRPr="0080373E">
        <w:rPr>
          <w:sz w:val="24"/>
          <w:szCs w:val="24"/>
        </w:rPr>
        <w:t>1 INTRODUÇÃO</w:t>
      </w:r>
    </w:p>
    <w:p w:rsidR="00B3515A" w:rsidRPr="0080373E" w:rsidRDefault="00B3515A" w:rsidP="0080373E">
      <w:pPr>
        <w:pStyle w:val="Ttulodaseoprimria"/>
        <w:rPr>
          <w:sz w:val="24"/>
          <w:szCs w:val="24"/>
        </w:rPr>
      </w:pPr>
    </w:p>
    <w:p w:rsidR="00B3515A" w:rsidRPr="0080373E" w:rsidRDefault="00B3515A" w:rsidP="0080373E">
      <w:r w:rsidRPr="0080373E">
        <w:t>A maçã apresenta potenciais efeitos benéficos à saúde relacionados principalmente à expressiva concentração de fibras e de flavonóides c</w:t>
      </w:r>
      <w:r>
        <w:t xml:space="preserve">om capacidade antioxidante (TSAO </w:t>
      </w:r>
      <w:r w:rsidRPr="002A5F31">
        <w:t>et al</w:t>
      </w:r>
      <w:r w:rsidRPr="00EF1ED6">
        <w:t>.,</w:t>
      </w:r>
      <w:r w:rsidRPr="0080373E">
        <w:t xml:space="preserve"> 2005;</w:t>
      </w:r>
      <w:r w:rsidRPr="0080373E">
        <w:rPr>
          <w:color w:val="000000"/>
        </w:rPr>
        <w:t xml:space="preserve"> YAMAMURA, 2007)</w:t>
      </w:r>
      <w:r w:rsidRPr="0080373E">
        <w:t>. A utilização desta fruta na saborização de leite pode aumentar o valor nutritivo do produto, associando os benefícios à saúde do leite e da fruta, além de resultar em características sensoriais diferenciadas</w:t>
      </w:r>
      <w:r>
        <w:t xml:space="preserve"> </w:t>
      </w:r>
      <w:r w:rsidRPr="007734D9">
        <w:t>(MARIN et al</w:t>
      </w:r>
      <w:r>
        <w:t>.</w:t>
      </w:r>
      <w:r w:rsidRPr="007734D9">
        <w:t>, 2012).</w:t>
      </w:r>
    </w:p>
    <w:p w:rsidR="00B3515A" w:rsidRPr="0080373E" w:rsidRDefault="00B3515A" w:rsidP="0080373E">
      <w:pPr>
        <w:pStyle w:val="Default"/>
        <w:ind w:firstLine="709"/>
        <w:jc w:val="both"/>
        <w:rPr>
          <w:rFonts w:cs="Arial"/>
        </w:rPr>
      </w:pPr>
      <w:r w:rsidRPr="0080373E">
        <w:rPr>
          <w:rFonts w:cs="Arial"/>
        </w:rPr>
        <w:t xml:space="preserve">Objetivou-se verificar a influência do consumo de leite saborizado com polpa de maçã no peso do fígado </w:t>
      </w:r>
      <w:r>
        <w:rPr>
          <w:rFonts w:cs="Arial"/>
        </w:rPr>
        <w:t xml:space="preserve">utilizando </w:t>
      </w:r>
      <w:r w:rsidRPr="0080373E">
        <w:rPr>
          <w:rFonts w:cs="Arial"/>
        </w:rPr>
        <w:t xml:space="preserve"> ratos </w:t>
      </w:r>
      <w:r w:rsidRPr="0080373E">
        <w:rPr>
          <w:rFonts w:cs="Arial"/>
          <w:i/>
          <w:iCs/>
        </w:rPr>
        <w:t xml:space="preserve">Wistar </w:t>
      </w:r>
      <w:r w:rsidRPr="002A5F31">
        <w:rPr>
          <w:rFonts w:cs="Arial"/>
        </w:rPr>
        <w:t>fêmeas</w:t>
      </w:r>
      <w:r>
        <w:rPr>
          <w:rFonts w:cs="Arial"/>
        </w:rPr>
        <w:t xml:space="preserve"> </w:t>
      </w:r>
      <w:r w:rsidRPr="0080373E">
        <w:rPr>
          <w:rFonts w:cs="Arial"/>
        </w:rPr>
        <w:t>como modelo experimental.</w:t>
      </w:r>
    </w:p>
    <w:p w:rsidR="00B3515A" w:rsidRPr="0080373E" w:rsidRDefault="00B3515A" w:rsidP="0080373E">
      <w:pPr>
        <w:ind w:firstLine="0"/>
      </w:pPr>
    </w:p>
    <w:p w:rsidR="00B3515A" w:rsidRDefault="00B3515A" w:rsidP="0080373E">
      <w:pPr>
        <w:pStyle w:val="Ttulodaseoprimria"/>
        <w:rPr>
          <w:sz w:val="24"/>
          <w:szCs w:val="24"/>
        </w:rPr>
      </w:pPr>
      <w:r w:rsidRPr="0080373E">
        <w:rPr>
          <w:sz w:val="24"/>
          <w:szCs w:val="24"/>
        </w:rPr>
        <w:t>2 MATERIAIS E MÉTODOS</w:t>
      </w:r>
    </w:p>
    <w:p w:rsidR="00B3515A" w:rsidRPr="00ED48A2" w:rsidRDefault="00B3515A" w:rsidP="0080373E">
      <w:pPr>
        <w:pStyle w:val="Ttulodaseoprimria"/>
        <w:rPr>
          <w:sz w:val="24"/>
          <w:szCs w:val="24"/>
        </w:rPr>
      </w:pPr>
    </w:p>
    <w:p w:rsidR="00B3515A" w:rsidRPr="0080373E" w:rsidRDefault="00B3515A" w:rsidP="0080373E">
      <w:pPr>
        <w:rPr>
          <w:color w:val="000000"/>
          <w:kern w:val="0"/>
        </w:rPr>
      </w:pPr>
      <w:r>
        <w:rPr>
          <w:color w:val="000000"/>
          <w:kern w:val="0"/>
        </w:rPr>
        <w:t xml:space="preserve"> O leite saborizado foi obtido pela mistura (%m/m) de 60% de leite UHT (60) e 40% de polpa de maçã (pasteurizada) e </w:t>
      </w:r>
      <w:r w:rsidRPr="0080373E">
        <w:rPr>
          <w:color w:val="000000"/>
          <w:kern w:val="0"/>
        </w:rPr>
        <w:t xml:space="preserve">5% de açúcar. </w:t>
      </w:r>
      <w:r>
        <w:rPr>
          <w:color w:val="000000"/>
          <w:kern w:val="0"/>
        </w:rPr>
        <w:t>F</w:t>
      </w:r>
      <w:r w:rsidRPr="0080373E">
        <w:rPr>
          <w:color w:val="000000"/>
          <w:kern w:val="0"/>
        </w:rPr>
        <w:t>oram utilizados 21 ratos fêmeas (</w:t>
      </w:r>
      <w:r w:rsidRPr="0080373E">
        <w:rPr>
          <w:i/>
          <w:iCs/>
          <w:color w:val="000000"/>
          <w:kern w:val="0"/>
        </w:rPr>
        <w:t xml:space="preserve">Rattus norvegicus – </w:t>
      </w:r>
      <w:r w:rsidRPr="0080373E">
        <w:rPr>
          <w:color w:val="000000"/>
          <w:kern w:val="0"/>
        </w:rPr>
        <w:t xml:space="preserve">Wistar/UFPel), desmamados aos 21 dias, com peso inicial </w:t>
      </w:r>
      <w:r>
        <w:rPr>
          <w:color w:val="000000"/>
          <w:kern w:val="0"/>
        </w:rPr>
        <w:t xml:space="preserve">médio de </w:t>
      </w:r>
      <w:r w:rsidRPr="0095265A">
        <w:rPr>
          <w:color w:val="000000"/>
          <w:kern w:val="0"/>
        </w:rPr>
        <w:t>69,71g</w:t>
      </w:r>
      <w:r>
        <w:rPr>
          <w:color w:val="000000"/>
          <w:kern w:val="0"/>
        </w:rPr>
        <w:t xml:space="preserve"> os quais, a</w:t>
      </w:r>
      <w:r w:rsidRPr="0080373E">
        <w:t xml:space="preserve">pós período de adaptação de </w:t>
      </w:r>
      <w:r>
        <w:t xml:space="preserve">3 </w:t>
      </w:r>
      <w:r w:rsidRPr="0080373E">
        <w:t xml:space="preserve">dias, foram distribuídos aleatoriamente em </w:t>
      </w:r>
      <w:r>
        <w:t xml:space="preserve">3 </w:t>
      </w:r>
      <w:r w:rsidRPr="0080373E">
        <w:t>grupos (n=7): grupo controle (C): animais alimentados com 23g de ração comercial; grupo leite (L): animais alimentados com 23g de ração comercial + 5ml de leite; grupo leite saborizado (LS): animais alimentados com 23g de ração comercial + 5ml de leite saborizado com polpa de maçã.</w:t>
      </w:r>
      <w:r>
        <w:t xml:space="preserve"> </w:t>
      </w:r>
      <w:r w:rsidRPr="0080373E">
        <w:rPr>
          <w:color w:val="000000"/>
          <w:kern w:val="0"/>
        </w:rPr>
        <w:t>Os ani</w:t>
      </w:r>
      <w:r>
        <w:rPr>
          <w:color w:val="000000"/>
          <w:kern w:val="0"/>
        </w:rPr>
        <w:t>m</w:t>
      </w:r>
      <w:r w:rsidRPr="0080373E">
        <w:rPr>
          <w:color w:val="000000"/>
          <w:kern w:val="0"/>
        </w:rPr>
        <w:t xml:space="preserve">ais foram mantidos </w:t>
      </w:r>
      <w:r>
        <w:rPr>
          <w:color w:val="000000"/>
          <w:kern w:val="0"/>
        </w:rPr>
        <w:t xml:space="preserve">por 41 dias </w:t>
      </w:r>
      <w:r w:rsidRPr="0080373E">
        <w:rPr>
          <w:color w:val="000000"/>
          <w:kern w:val="0"/>
        </w:rPr>
        <w:t>em gaiolas individuais</w:t>
      </w:r>
      <w:r>
        <w:rPr>
          <w:color w:val="000000"/>
          <w:kern w:val="0"/>
        </w:rPr>
        <w:t>,</w:t>
      </w:r>
      <w:r w:rsidRPr="0080373E">
        <w:rPr>
          <w:color w:val="000000"/>
          <w:kern w:val="0"/>
        </w:rPr>
        <w:t xml:space="preserve"> com temperatura controlada a 25±1ºC, renovação de ar por sistema de exaustão, ciclo claro/escuro de 12 horas e água </w:t>
      </w:r>
      <w:r w:rsidRPr="0080373E">
        <w:rPr>
          <w:i/>
          <w:iCs/>
          <w:color w:val="000000"/>
          <w:kern w:val="0"/>
        </w:rPr>
        <w:t>ad libitum</w:t>
      </w:r>
      <w:r w:rsidRPr="0080373E">
        <w:rPr>
          <w:color w:val="000000"/>
          <w:kern w:val="0"/>
        </w:rPr>
        <w:t>. Ao termino do experimento</w:t>
      </w:r>
      <w:r>
        <w:rPr>
          <w:color w:val="000000"/>
          <w:kern w:val="0"/>
        </w:rPr>
        <w:t xml:space="preserve"> </w:t>
      </w:r>
      <w:r w:rsidRPr="0080373E">
        <w:rPr>
          <w:color w:val="000000"/>
          <w:kern w:val="0"/>
        </w:rPr>
        <w:t>foram submetidos a um jejum de 12 horas</w:t>
      </w:r>
      <w:r>
        <w:rPr>
          <w:color w:val="000000"/>
          <w:kern w:val="0"/>
        </w:rPr>
        <w:t>, pesados,</w:t>
      </w:r>
      <w:r w:rsidRPr="0080373E">
        <w:rPr>
          <w:color w:val="000000"/>
          <w:kern w:val="0"/>
        </w:rPr>
        <w:t xml:space="preserve"> e após eutan</w:t>
      </w:r>
      <w:r>
        <w:rPr>
          <w:color w:val="000000"/>
          <w:kern w:val="0"/>
        </w:rPr>
        <w:t>a</w:t>
      </w:r>
      <w:r w:rsidRPr="0080373E">
        <w:rPr>
          <w:color w:val="000000"/>
          <w:kern w:val="0"/>
        </w:rPr>
        <w:t>sia</w:t>
      </w:r>
      <w:r>
        <w:rPr>
          <w:color w:val="000000"/>
          <w:kern w:val="0"/>
        </w:rPr>
        <w:t>dos</w:t>
      </w:r>
      <w:r w:rsidRPr="0080373E">
        <w:rPr>
          <w:color w:val="000000"/>
          <w:kern w:val="0"/>
        </w:rPr>
        <w:t xml:space="preserve"> por decapitação em guilhotina, procedendo-se </w:t>
      </w:r>
      <w:r>
        <w:rPr>
          <w:color w:val="000000"/>
          <w:kern w:val="0"/>
        </w:rPr>
        <w:t>à</w:t>
      </w:r>
      <w:r w:rsidRPr="0080373E">
        <w:rPr>
          <w:color w:val="000000"/>
          <w:kern w:val="0"/>
        </w:rPr>
        <w:t xml:space="preserve"> abertura completa da cavidade abdominal e à retirada do fígado. O órgão foi pesado e mantido sob refrigeração à -18ºC para posterior an</w:t>
      </w:r>
      <w:r>
        <w:rPr>
          <w:color w:val="000000"/>
          <w:kern w:val="0"/>
        </w:rPr>
        <w:t>á</w:t>
      </w:r>
      <w:r w:rsidRPr="0080373E">
        <w:rPr>
          <w:color w:val="000000"/>
          <w:kern w:val="0"/>
        </w:rPr>
        <w:t>lise</w:t>
      </w:r>
      <w:r>
        <w:rPr>
          <w:color w:val="000000"/>
          <w:kern w:val="0"/>
        </w:rPr>
        <w:t xml:space="preserve"> de </w:t>
      </w:r>
      <w:r w:rsidRPr="0080373E">
        <w:t>lipídios totais pelo método de Bligh</w:t>
      </w:r>
      <w:r>
        <w:t xml:space="preserve"> </w:t>
      </w:r>
      <w:r w:rsidRPr="0080373E">
        <w:t>&amp;</w:t>
      </w:r>
      <w:r>
        <w:t xml:space="preserve"> </w:t>
      </w:r>
      <w:r w:rsidRPr="0080373E">
        <w:t>Dyer (1959).</w:t>
      </w:r>
    </w:p>
    <w:p w:rsidR="00B3515A" w:rsidRPr="0080373E" w:rsidRDefault="00B3515A" w:rsidP="0080373E"/>
    <w:p w:rsidR="00B3515A" w:rsidRDefault="00B3515A" w:rsidP="0080373E">
      <w:pPr>
        <w:pStyle w:val="Ttulodaseoprimria"/>
        <w:rPr>
          <w:sz w:val="24"/>
          <w:szCs w:val="24"/>
        </w:rPr>
      </w:pPr>
      <w:r w:rsidRPr="0080373E">
        <w:rPr>
          <w:sz w:val="24"/>
          <w:szCs w:val="24"/>
        </w:rPr>
        <w:t xml:space="preserve">3 RESULTADOS e DISCUSSÃO </w:t>
      </w:r>
    </w:p>
    <w:p w:rsidR="00B3515A" w:rsidRDefault="00B3515A" w:rsidP="0080373E">
      <w:pPr>
        <w:pStyle w:val="Ttulodaseoprimria"/>
        <w:rPr>
          <w:sz w:val="24"/>
          <w:szCs w:val="24"/>
        </w:rPr>
      </w:pPr>
    </w:p>
    <w:p w:rsidR="00B3515A" w:rsidRPr="0080373E" w:rsidRDefault="00B3515A" w:rsidP="00AE1068">
      <w:r>
        <w:t>Verifica-se na Tabela 1 que o</w:t>
      </w:r>
      <w:r w:rsidRPr="0080373E">
        <w:t xml:space="preserve">s grupos que ingeriram dietas à base de leite não diferiram entre si na avaliação do percentual de </w:t>
      </w:r>
      <w:r>
        <w:t xml:space="preserve">lipídios hepáticos, mas apresentaram percentuais </w:t>
      </w:r>
      <w:r w:rsidRPr="0080373E">
        <w:t>significativamente</w:t>
      </w:r>
      <w:r>
        <w:t xml:space="preserve"> (p≥0,05) maiores do que </w:t>
      </w:r>
      <w:r w:rsidRPr="0080373E">
        <w:t>o grupo controle. Considerando que a maçã não apresenta valores expressivos de gordura</w:t>
      </w:r>
      <w:r>
        <w:t>, que</w:t>
      </w:r>
      <w:r w:rsidRPr="0080373E">
        <w:t xml:space="preserve"> a ração comercial cont</w:t>
      </w:r>
      <w:r>
        <w:t>é</w:t>
      </w:r>
      <w:r w:rsidRPr="0080373E">
        <w:t xml:space="preserve">m quantidades recomendáveis de lipídios e </w:t>
      </w:r>
      <w:r>
        <w:t xml:space="preserve">que </w:t>
      </w:r>
      <w:r w:rsidRPr="0080373E">
        <w:t xml:space="preserve">esta </w:t>
      </w:r>
      <w:r>
        <w:t xml:space="preserve">foi </w:t>
      </w:r>
      <w:r w:rsidRPr="0080373E">
        <w:t>distribuída igualmente entre os grupos, a gordura depositada no fígado dos ratos é oriunda do leite.</w:t>
      </w:r>
    </w:p>
    <w:p w:rsidR="00B3515A" w:rsidRDefault="00B3515A" w:rsidP="0080373E">
      <w:pPr>
        <w:pStyle w:val="Ttulodaseoprimria"/>
        <w:rPr>
          <w:sz w:val="24"/>
          <w:szCs w:val="24"/>
        </w:rPr>
      </w:pPr>
    </w:p>
    <w:p w:rsidR="00B3515A" w:rsidRPr="00F03937" w:rsidRDefault="00B3515A" w:rsidP="0080373E">
      <w:pPr>
        <w:pStyle w:val="Ttulodaseoprimria"/>
        <w:rPr>
          <w:b w:val="0"/>
          <w:bCs w:val="0"/>
          <w:sz w:val="24"/>
          <w:szCs w:val="24"/>
        </w:rPr>
      </w:pPr>
      <w:r w:rsidRPr="00F03937">
        <w:rPr>
          <w:kern w:val="0"/>
          <w:sz w:val="24"/>
          <w:szCs w:val="24"/>
          <w:lang w:eastAsia="en-US"/>
        </w:rPr>
        <w:t>Tabela 1:</w:t>
      </w:r>
      <w:r>
        <w:rPr>
          <w:b w:val="0"/>
          <w:bCs w:val="0"/>
          <w:kern w:val="0"/>
          <w:sz w:val="24"/>
          <w:szCs w:val="24"/>
          <w:lang w:eastAsia="en-US"/>
        </w:rPr>
        <w:t>Peso corpóreo (g), peso do fígado (g), l</w:t>
      </w:r>
      <w:r w:rsidRPr="00F03937">
        <w:rPr>
          <w:b w:val="0"/>
          <w:bCs w:val="0"/>
          <w:kern w:val="0"/>
          <w:sz w:val="24"/>
          <w:szCs w:val="24"/>
          <w:lang w:eastAsia="en-US"/>
        </w:rPr>
        <w:t xml:space="preserve">ipídios 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hepáticos </w:t>
      </w:r>
      <w:r w:rsidRPr="00F03937">
        <w:rPr>
          <w:b w:val="0"/>
          <w:bCs w:val="0"/>
          <w:kern w:val="0"/>
          <w:sz w:val="24"/>
          <w:szCs w:val="24"/>
          <w:lang w:eastAsia="en-US"/>
        </w:rPr>
        <w:t xml:space="preserve">totais (%)e relação peso do fígado com 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peso </w:t>
      </w:r>
      <w:r w:rsidRPr="00F03937">
        <w:rPr>
          <w:b w:val="0"/>
          <w:bCs w:val="0"/>
          <w:kern w:val="0"/>
          <w:sz w:val="24"/>
          <w:szCs w:val="24"/>
          <w:lang w:eastAsia="en-US"/>
        </w:rPr>
        <w:t>corporal de ratos Wistar fêmeas submetidos a diferentes dietas por 41 dias</w:t>
      </w:r>
    </w:p>
    <w:tbl>
      <w:tblPr>
        <w:tblW w:w="918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2381"/>
        <w:gridCol w:w="2268"/>
        <w:gridCol w:w="2268"/>
        <w:gridCol w:w="2268"/>
      </w:tblGrid>
      <w:tr w:rsidR="00B3515A" w:rsidRPr="009F583E">
        <w:trPr>
          <w:trHeight w:val="201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b/>
                <w:bCs/>
                <w:kern w:val="0"/>
                <w:sz w:val="20"/>
                <w:szCs w:val="20"/>
                <w:lang w:eastAsia="en-US"/>
              </w:rPr>
              <w:t>Determinações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b/>
                <w:bCs/>
                <w:kern w:val="0"/>
                <w:sz w:val="20"/>
                <w:szCs w:val="20"/>
                <w:lang w:eastAsia="en-US"/>
              </w:rPr>
              <w:t>Dietas*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B3515A" w:rsidRPr="009F583E">
        <w:trPr>
          <w:trHeight w:val="335"/>
          <w:jc w:val="center"/>
        </w:trPr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b/>
                <w:bCs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b/>
                <w:bCs/>
                <w:kern w:val="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b/>
                <w:bCs/>
                <w:kern w:val="0"/>
                <w:sz w:val="20"/>
                <w:szCs w:val="20"/>
                <w:lang w:eastAsia="en-US"/>
              </w:rPr>
              <w:t>LS</w:t>
            </w:r>
          </w:p>
        </w:tc>
      </w:tr>
      <w:tr w:rsidR="00B3515A" w:rsidRPr="009F583E">
        <w:trPr>
          <w:jc w:val="center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left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b/>
                <w:bCs/>
                <w:kern w:val="0"/>
                <w:sz w:val="20"/>
                <w:szCs w:val="20"/>
                <w:lang w:eastAsia="en-US"/>
              </w:rPr>
              <w:t>Peso corpóreo (g)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183,143ª ± 13,993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175,429ª ± 19,722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182,286ª ± 11,856</w:t>
            </w:r>
          </w:p>
        </w:tc>
      </w:tr>
      <w:tr w:rsidR="00B3515A" w:rsidRPr="009F583E">
        <w:trPr>
          <w:jc w:val="center"/>
        </w:trPr>
        <w:tc>
          <w:tcPr>
            <w:tcW w:w="2381" w:type="dxa"/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left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b/>
                <w:bCs/>
                <w:kern w:val="0"/>
                <w:sz w:val="20"/>
                <w:szCs w:val="20"/>
                <w:lang w:eastAsia="en-US"/>
              </w:rPr>
              <w:t>Peso fígado (g)</w:t>
            </w:r>
          </w:p>
        </w:tc>
        <w:tc>
          <w:tcPr>
            <w:tcW w:w="2268" w:type="dxa"/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6,386</w:t>
            </w:r>
            <w:r w:rsidRPr="009F583E">
              <w:rPr>
                <w:sz w:val="20"/>
                <w:szCs w:val="20"/>
                <w:vertAlign w:val="superscript"/>
              </w:rPr>
              <w:t xml:space="preserve">a </w:t>
            </w:r>
            <w:r w:rsidRPr="009F583E">
              <w:rPr>
                <w:sz w:val="20"/>
                <w:szCs w:val="20"/>
              </w:rPr>
              <w:t>± 0,474</w:t>
            </w:r>
          </w:p>
        </w:tc>
        <w:tc>
          <w:tcPr>
            <w:tcW w:w="2268" w:type="dxa"/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6,057</w:t>
            </w:r>
            <w:r w:rsidRPr="009F583E">
              <w:rPr>
                <w:sz w:val="20"/>
                <w:szCs w:val="20"/>
                <w:vertAlign w:val="superscript"/>
              </w:rPr>
              <w:t>a</w:t>
            </w:r>
            <w:r w:rsidRPr="009F583E">
              <w:rPr>
                <w:sz w:val="20"/>
                <w:szCs w:val="20"/>
              </w:rPr>
              <w:t xml:space="preserve"> ± 0,824</w:t>
            </w:r>
          </w:p>
        </w:tc>
        <w:tc>
          <w:tcPr>
            <w:tcW w:w="2268" w:type="dxa"/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6,429</w:t>
            </w:r>
            <w:r w:rsidRPr="009F583E">
              <w:rPr>
                <w:sz w:val="20"/>
                <w:szCs w:val="20"/>
                <w:vertAlign w:val="superscript"/>
              </w:rPr>
              <w:t>a</w:t>
            </w:r>
            <w:r w:rsidRPr="009F583E">
              <w:rPr>
                <w:sz w:val="20"/>
                <w:szCs w:val="20"/>
              </w:rPr>
              <w:t xml:space="preserve"> ± 0,559</w:t>
            </w:r>
          </w:p>
        </w:tc>
      </w:tr>
      <w:tr w:rsidR="00B3515A" w:rsidRPr="009F583E">
        <w:trPr>
          <w:jc w:val="center"/>
        </w:trPr>
        <w:tc>
          <w:tcPr>
            <w:tcW w:w="2381" w:type="dxa"/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left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b/>
                <w:bCs/>
                <w:kern w:val="0"/>
                <w:sz w:val="20"/>
                <w:szCs w:val="20"/>
                <w:lang w:eastAsia="en-US"/>
              </w:rPr>
              <w:t>Lipídios hepáticos totais (%)</w:t>
            </w:r>
          </w:p>
        </w:tc>
        <w:tc>
          <w:tcPr>
            <w:tcW w:w="2268" w:type="dxa"/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2,678</w:t>
            </w:r>
            <w:r w:rsidRPr="009F583E">
              <w:rPr>
                <w:sz w:val="20"/>
                <w:szCs w:val="20"/>
                <w:vertAlign w:val="superscript"/>
              </w:rPr>
              <w:t xml:space="preserve">b </w:t>
            </w:r>
            <w:r w:rsidRPr="009F583E">
              <w:rPr>
                <w:sz w:val="20"/>
                <w:szCs w:val="20"/>
              </w:rPr>
              <w:t>± 0,182</w:t>
            </w:r>
          </w:p>
        </w:tc>
        <w:tc>
          <w:tcPr>
            <w:tcW w:w="2268" w:type="dxa"/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5,259</w:t>
            </w:r>
            <w:r w:rsidRPr="009F583E">
              <w:rPr>
                <w:sz w:val="20"/>
                <w:szCs w:val="20"/>
                <w:vertAlign w:val="superscript"/>
              </w:rPr>
              <w:t>a</w:t>
            </w:r>
            <w:r w:rsidRPr="009F583E">
              <w:rPr>
                <w:sz w:val="20"/>
                <w:szCs w:val="20"/>
              </w:rPr>
              <w:t xml:space="preserve"> ± 0,929</w:t>
            </w:r>
          </w:p>
        </w:tc>
        <w:tc>
          <w:tcPr>
            <w:tcW w:w="2268" w:type="dxa"/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4,330</w:t>
            </w:r>
            <w:r w:rsidRPr="009F583E">
              <w:rPr>
                <w:sz w:val="20"/>
                <w:szCs w:val="20"/>
                <w:vertAlign w:val="superscript"/>
              </w:rPr>
              <w:t>a</w:t>
            </w:r>
            <w:r w:rsidRPr="009F583E">
              <w:rPr>
                <w:sz w:val="20"/>
                <w:szCs w:val="20"/>
              </w:rPr>
              <w:t xml:space="preserve"> ± 1,414</w:t>
            </w:r>
          </w:p>
        </w:tc>
      </w:tr>
      <w:tr w:rsidR="00B3515A" w:rsidRPr="009F583E">
        <w:trPr>
          <w:jc w:val="center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left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b/>
                <w:bCs/>
                <w:kern w:val="0"/>
                <w:sz w:val="20"/>
                <w:szCs w:val="20"/>
                <w:lang w:eastAsia="en-US"/>
              </w:rPr>
              <w:t>Correlação peso fígado/peso corpóreo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0,035ª ± 0,001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0,034ª ± 0,001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515A" w:rsidRPr="009F583E" w:rsidRDefault="00B3515A" w:rsidP="005470E1">
            <w:pPr>
              <w:widowControl/>
              <w:suppressAutoHyphens w:val="0"/>
              <w:ind w:firstLine="0"/>
              <w:jc w:val="center"/>
              <w:rPr>
                <w:b/>
                <w:bCs/>
                <w:kern w:val="0"/>
                <w:sz w:val="20"/>
                <w:szCs w:val="20"/>
                <w:lang w:eastAsia="en-US"/>
              </w:rPr>
            </w:pPr>
            <w:r w:rsidRPr="009F583E">
              <w:rPr>
                <w:sz w:val="20"/>
                <w:szCs w:val="20"/>
              </w:rPr>
              <w:t>0,035ª ± 0,003</w:t>
            </w:r>
          </w:p>
        </w:tc>
      </w:tr>
    </w:tbl>
    <w:p w:rsidR="00B3515A" w:rsidRPr="009F583E" w:rsidRDefault="00B3515A" w:rsidP="0080373E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9F583E">
        <w:rPr>
          <w:sz w:val="16"/>
          <w:szCs w:val="16"/>
        </w:rPr>
        <w:t>*Média (n=7) ± desvio padrão.</w:t>
      </w:r>
    </w:p>
    <w:p w:rsidR="00B3515A" w:rsidRPr="009F583E" w:rsidRDefault="00B3515A" w:rsidP="0080373E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9F583E">
        <w:rPr>
          <w:sz w:val="16"/>
          <w:szCs w:val="16"/>
        </w:rPr>
        <w:t xml:space="preserve">Médias seguidas de letras distintas na mesma linha </w:t>
      </w:r>
      <w:bookmarkStart w:id="0" w:name="_GoBack"/>
      <w:bookmarkEnd w:id="0"/>
      <w:r w:rsidRPr="009F583E">
        <w:rPr>
          <w:sz w:val="16"/>
          <w:szCs w:val="16"/>
        </w:rPr>
        <w:t>diferem entre si pelo Teste de Tukey (p≤0,05).</w:t>
      </w:r>
    </w:p>
    <w:p w:rsidR="00B3515A" w:rsidRPr="009F583E" w:rsidRDefault="00B3515A" w:rsidP="0080373E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9F583E">
        <w:rPr>
          <w:sz w:val="16"/>
          <w:szCs w:val="16"/>
        </w:rPr>
        <w:t>C = controle (ração comercial);</w:t>
      </w:r>
    </w:p>
    <w:p w:rsidR="00B3515A" w:rsidRPr="009F583E" w:rsidRDefault="00B3515A" w:rsidP="0080373E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9F583E">
        <w:rPr>
          <w:sz w:val="16"/>
          <w:szCs w:val="16"/>
        </w:rPr>
        <w:t>L = ração padrão + 5 mL de leite desnatado UHT;</w:t>
      </w:r>
    </w:p>
    <w:p w:rsidR="00B3515A" w:rsidRPr="009F583E" w:rsidRDefault="00B3515A" w:rsidP="0080373E">
      <w:pPr>
        <w:pStyle w:val="Default"/>
        <w:tabs>
          <w:tab w:val="left" w:pos="2562"/>
        </w:tabs>
        <w:jc w:val="both"/>
        <w:rPr>
          <w:rFonts w:cs="Arial"/>
          <w:sz w:val="16"/>
          <w:szCs w:val="16"/>
        </w:rPr>
      </w:pPr>
      <w:r w:rsidRPr="009F583E">
        <w:rPr>
          <w:rFonts w:cs="Arial"/>
          <w:sz w:val="16"/>
          <w:szCs w:val="16"/>
        </w:rPr>
        <w:t>LS = ração comercial + 5 mL de leite desnatado UHT saborizado com polpa de maçã.</w:t>
      </w:r>
    </w:p>
    <w:p w:rsidR="00B3515A" w:rsidRDefault="00B3515A" w:rsidP="0080373E"/>
    <w:p w:rsidR="00B3515A" w:rsidRPr="0080373E" w:rsidRDefault="00B3515A" w:rsidP="0080373E">
      <w:r>
        <w:t>Mesmo com maior percentual lipídico no fígado dos animais que ingeriram leite (grupos L e LS), não houve diferença entre os grupos na análise da correlação do peso do fígado e peso corpóreo, visto que o aumento do fígado foi proporcional ao crescimento do animal</w:t>
      </w:r>
      <w:r w:rsidRPr="0080373E">
        <w:t>. Silva (2009)</w:t>
      </w:r>
      <w:r>
        <w:t>,</w:t>
      </w:r>
      <w:r w:rsidRPr="0080373E">
        <w:t xml:space="preserve"> ao avaliar os efeitos do leite caprino em comparação ao leite bovino em ratos Wistar, verificou valores próximos ao deste estudo</w:t>
      </w:r>
      <w:r>
        <w:t xml:space="preserve"> para a correlação peso fígado/peso corpóreo</w:t>
      </w:r>
      <w:r w:rsidRPr="0080373E">
        <w:t>, sendo os resultados 0,03, 0,04 e 0,03, respectivamente para as dietas padrão, leite caprino e leite bovino.</w:t>
      </w:r>
    </w:p>
    <w:p w:rsidR="00B3515A" w:rsidRDefault="00B3515A" w:rsidP="0080373E">
      <w:pPr>
        <w:pStyle w:val="Ttulodaseoprimria"/>
        <w:rPr>
          <w:sz w:val="24"/>
          <w:szCs w:val="24"/>
        </w:rPr>
      </w:pPr>
    </w:p>
    <w:p w:rsidR="00B3515A" w:rsidRPr="0080373E" w:rsidRDefault="00B3515A" w:rsidP="0080373E">
      <w:pPr>
        <w:pStyle w:val="Ttulodaseoprimria"/>
        <w:rPr>
          <w:sz w:val="24"/>
          <w:szCs w:val="24"/>
        </w:rPr>
      </w:pPr>
      <w:r w:rsidRPr="0080373E">
        <w:rPr>
          <w:sz w:val="24"/>
          <w:szCs w:val="24"/>
        </w:rPr>
        <w:t>4 CONSIDERAÇÕES FINAIS</w:t>
      </w:r>
    </w:p>
    <w:p w:rsidR="00B3515A" w:rsidRDefault="00B3515A" w:rsidP="005470E1">
      <w:pPr>
        <w:shd w:val="clear" w:color="auto" w:fill="FFFFFF"/>
      </w:pPr>
    </w:p>
    <w:p w:rsidR="00B3515A" w:rsidRPr="0080373E" w:rsidRDefault="00B3515A" w:rsidP="005470E1">
      <w:pPr>
        <w:shd w:val="clear" w:color="auto" w:fill="FFFFFF"/>
        <w:rPr>
          <w:b/>
          <w:bCs/>
        </w:rPr>
      </w:pPr>
      <w:r>
        <w:t>O leite saborizado com polpa de maçã, na dose administrada neste estudo, não influenciou no peso do fígado dos ratos Wistar fêmeas.</w:t>
      </w:r>
    </w:p>
    <w:p w:rsidR="00B3515A" w:rsidRPr="0080373E" w:rsidRDefault="00B3515A" w:rsidP="0080373E"/>
    <w:p w:rsidR="00B3515A" w:rsidRPr="00AE1068" w:rsidRDefault="00B3515A" w:rsidP="0080373E">
      <w:pPr>
        <w:pStyle w:val="Ttulodaseoprimria"/>
        <w:rPr>
          <w:sz w:val="24"/>
          <w:szCs w:val="24"/>
          <w:lang w:val="en-US"/>
        </w:rPr>
      </w:pPr>
      <w:r w:rsidRPr="00AE1068">
        <w:rPr>
          <w:sz w:val="24"/>
          <w:szCs w:val="24"/>
          <w:lang w:val="en-US"/>
        </w:rPr>
        <w:t>REFERÊNCIAS</w:t>
      </w:r>
    </w:p>
    <w:p w:rsidR="00B3515A" w:rsidRPr="00AE1068" w:rsidRDefault="00B3515A" w:rsidP="0080373E">
      <w:pPr>
        <w:pStyle w:val="Ttulodaseoprimria"/>
        <w:rPr>
          <w:sz w:val="24"/>
          <w:szCs w:val="24"/>
          <w:lang w:val="en-US"/>
        </w:rPr>
      </w:pPr>
    </w:p>
    <w:p w:rsidR="00B3515A" w:rsidRDefault="00B3515A" w:rsidP="0080373E">
      <w:pPr>
        <w:ind w:firstLine="0"/>
        <w:rPr>
          <w:color w:val="000000"/>
          <w:lang w:val="en-US"/>
        </w:rPr>
      </w:pPr>
      <w:r w:rsidRPr="00AE1068">
        <w:rPr>
          <w:color w:val="000000"/>
          <w:lang w:val="en-US"/>
        </w:rPr>
        <w:t>BLIGH, E. C.; DYER W. J.</w:t>
      </w:r>
      <w:r w:rsidRPr="0080373E">
        <w:rPr>
          <w:color w:val="000000"/>
          <w:lang w:val="en-US"/>
        </w:rPr>
        <w:t xml:space="preserve"> </w:t>
      </w:r>
      <w:r w:rsidRPr="0080373E">
        <w:rPr>
          <w:b/>
          <w:bCs/>
          <w:color w:val="000000"/>
          <w:lang w:val="en-US"/>
        </w:rPr>
        <w:t>Canadian Journal Biochemistry Physiology</w:t>
      </w:r>
      <w:r w:rsidRPr="0080373E">
        <w:rPr>
          <w:color w:val="000000"/>
          <w:lang w:val="en-US"/>
        </w:rPr>
        <w:t>, v.37, p.911-917, 1959.</w:t>
      </w:r>
    </w:p>
    <w:p w:rsidR="00B3515A" w:rsidRPr="004B1952" w:rsidRDefault="00B3515A" w:rsidP="007734D9">
      <w:pPr>
        <w:ind w:firstLine="0"/>
        <w:rPr>
          <w:color w:val="000000"/>
          <w:shd w:val="clear" w:color="auto" w:fill="FFFFFF"/>
        </w:rPr>
      </w:pPr>
      <w:r w:rsidRPr="004B1952">
        <w:rPr>
          <w:color w:val="000000"/>
          <w:shd w:val="clear" w:color="auto" w:fill="FFFFFF"/>
        </w:rPr>
        <w:t xml:space="preserve">MARIN, M.; MADRUGA, N. de A.; FERRAZ, M. C.; KROLOW, A. C. R.; </w:t>
      </w:r>
      <w:r w:rsidRPr="00F03937">
        <w:rPr>
          <w:color w:val="000000"/>
          <w:shd w:val="clear" w:color="auto" w:fill="FFFFFF"/>
        </w:rPr>
        <w:t xml:space="preserve">RODRIGUES, R. da S. In: Congresso de Iniciação Cientifica, 21, 2012, Pelotas. </w:t>
      </w:r>
      <w:r w:rsidRPr="00F03937">
        <w:rPr>
          <w:b/>
          <w:bCs/>
          <w:color w:val="000000"/>
          <w:shd w:val="clear" w:color="auto" w:fill="FFFFFF"/>
        </w:rPr>
        <w:t>Anais do...</w:t>
      </w:r>
      <w:r w:rsidRPr="00F03937">
        <w:rPr>
          <w:color w:val="000000"/>
          <w:shd w:val="clear" w:color="auto" w:fill="FFFFFF"/>
        </w:rPr>
        <w:t xml:space="preserve"> Pelotas: CIC, 2012. 1 CD ROM.</w:t>
      </w:r>
    </w:p>
    <w:p w:rsidR="00B3515A" w:rsidRPr="0080373E" w:rsidRDefault="00B3515A" w:rsidP="0080373E">
      <w:pPr>
        <w:ind w:firstLine="0"/>
      </w:pPr>
      <w:r w:rsidRPr="0080373E">
        <w:t xml:space="preserve">SILVA, P. V da. </w:t>
      </w:r>
      <w:r w:rsidRPr="0080373E">
        <w:rPr>
          <w:b/>
          <w:bCs/>
        </w:rPr>
        <w:t xml:space="preserve">Leite caprino: caracterização físico-quimica, perfil de ácidos graxos e avaliação biológica (Ratos fêmeas </w:t>
      </w:r>
      <w:r w:rsidRPr="0080373E">
        <w:rPr>
          <w:b/>
          <w:bCs/>
          <w:i/>
          <w:iCs/>
        </w:rPr>
        <w:t>Wistar)</w:t>
      </w:r>
      <w:r w:rsidRPr="0080373E">
        <w:rPr>
          <w:b/>
          <w:bCs/>
        </w:rPr>
        <w:t>.</w:t>
      </w:r>
      <w:r w:rsidRPr="0080373E">
        <w:t xml:space="preserve"> 2009. 151f. Dissertação (Mestrado em Ciência e Tecnologia Agroindustrial) – U</w:t>
      </w:r>
      <w:r>
        <w:t>FPEL</w:t>
      </w:r>
      <w:r w:rsidRPr="0080373E">
        <w:t>, Pelotas, 2009.</w:t>
      </w:r>
    </w:p>
    <w:p w:rsidR="00B3515A" w:rsidRPr="00187AF1" w:rsidRDefault="00B3515A" w:rsidP="00C63BFD">
      <w:pPr>
        <w:tabs>
          <w:tab w:val="left" w:pos="3114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63BFD">
        <w:rPr>
          <w:color w:val="000000"/>
          <w:lang w:val="en-US"/>
        </w:rPr>
        <w:t xml:space="preserve">TSAO, R.; YANG, R.; XIE, S.; SOCKOVIE, E.; KHANIZADEH, S. </w:t>
      </w:r>
      <w:r w:rsidRPr="00C63BFD">
        <w:rPr>
          <w:b/>
          <w:bCs/>
          <w:color w:val="000000"/>
          <w:lang w:val="en-US"/>
        </w:rPr>
        <w:t>Journal of Agricultural and Food Chemistry</w:t>
      </w:r>
      <w:r>
        <w:rPr>
          <w:color w:val="000000"/>
          <w:lang w:val="en-US"/>
        </w:rPr>
        <w:t>, Easton, v.</w:t>
      </w:r>
      <w:r w:rsidRPr="00C63BFD">
        <w:rPr>
          <w:color w:val="000000"/>
          <w:lang w:val="en-US"/>
        </w:rPr>
        <w:t>53, n.12, p.4989-4995, 2005</w:t>
      </w:r>
      <w:r w:rsidRPr="00187AF1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B3515A" w:rsidRPr="0080373E" w:rsidRDefault="00B3515A" w:rsidP="0053079C">
      <w:pPr>
        <w:autoSpaceDE w:val="0"/>
        <w:autoSpaceDN w:val="0"/>
        <w:adjustRightInd w:val="0"/>
        <w:ind w:firstLine="0"/>
      </w:pPr>
      <w:r w:rsidRPr="00154D18">
        <w:rPr>
          <w:rStyle w:val="Emphasis"/>
          <w:rFonts w:cs="Arial"/>
          <w:i w:val="0"/>
          <w:iCs w:val="0"/>
        </w:rPr>
        <w:t>YAMAMURA, Y.</w:t>
      </w:r>
      <w:r>
        <w:rPr>
          <w:rStyle w:val="Emphasis"/>
          <w:rFonts w:cs="Arial"/>
          <w:i w:val="0"/>
          <w:iCs w:val="0"/>
        </w:rPr>
        <w:t xml:space="preserve"> </w:t>
      </w:r>
      <w:r w:rsidRPr="0080373E">
        <w:rPr>
          <w:rStyle w:val="A2"/>
          <w:rFonts w:cs="Arial"/>
        </w:rPr>
        <w:t>A</w:t>
      </w:r>
      <w:r>
        <w:rPr>
          <w:rStyle w:val="A2"/>
          <w:rFonts w:cs="Arial"/>
        </w:rPr>
        <w:t>.</w:t>
      </w:r>
      <w:r w:rsidRPr="0080373E">
        <w:rPr>
          <w:rStyle w:val="A2"/>
          <w:rFonts w:cs="Arial"/>
        </w:rPr>
        <w:t xml:space="preserve"> essência dos alimentos na saúde e na doença. </w:t>
      </w:r>
      <w:r w:rsidRPr="00154D18">
        <w:rPr>
          <w:rStyle w:val="Emphasis"/>
          <w:rFonts w:cs="Arial"/>
          <w:b/>
          <w:bCs/>
          <w:i w:val="0"/>
          <w:iCs w:val="0"/>
        </w:rPr>
        <w:t>Centro de Pesquisa e Estudo da Medicina Chinesa</w:t>
      </w:r>
      <w:r w:rsidRPr="002A5F31">
        <w:rPr>
          <w:rStyle w:val="Emphasis"/>
          <w:rFonts w:cs="Arial"/>
          <w:i w:val="0"/>
          <w:iCs w:val="0"/>
        </w:rPr>
        <w:t>.</w:t>
      </w:r>
      <w:r>
        <w:rPr>
          <w:rStyle w:val="Emphasis"/>
          <w:rFonts w:cs="Arial"/>
          <w:i w:val="0"/>
          <w:iCs w:val="0"/>
        </w:rPr>
        <w:t xml:space="preserve"> </w:t>
      </w:r>
      <w:r w:rsidRPr="0080373E">
        <w:rPr>
          <w:rStyle w:val="A2"/>
          <w:rFonts w:cs="Arial"/>
        </w:rPr>
        <w:t>2007. Disponível em: &lt;http://www.abpm.org.br/portugues/maca/saudeeciencia/macaecolesterol.htm&gt;. Acesso em: 25 de agosto. 201</w:t>
      </w:r>
      <w:r>
        <w:rPr>
          <w:rStyle w:val="A2"/>
          <w:rFonts w:cs="Arial"/>
        </w:rPr>
        <w:t>2.</w:t>
      </w:r>
    </w:p>
    <w:sectPr w:rsidR="00B3515A" w:rsidRPr="0080373E" w:rsidSect="00B87D3A">
      <w:headerReference w:type="default" r:id="rId6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5A" w:rsidRDefault="00B3515A" w:rsidP="00B11590">
      <w:r>
        <w:separator/>
      </w:r>
    </w:p>
  </w:endnote>
  <w:endnote w:type="continuationSeparator" w:id="0">
    <w:p w:rsidR="00B3515A" w:rsidRDefault="00B3515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5A" w:rsidRDefault="00B3515A" w:rsidP="00B11590">
      <w:r>
        <w:separator/>
      </w:r>
    </w:p>
  </w:footnote>
  <w:footnote w:type="continuationSeparator" w:id="0">
    <w:p w:rsidR="00B3515A" w:rsidRDefault="00B3515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5A" w:rsidRDefault="00B3515A" w:rsidP="00F34C67">
    <w:pPr>
      <w:pStyle w:val="Header"/>
      <w:jc w:val="center"/>
      <w:rPr>
        <w:rStyle w:val="Strong"/>
        <w:rFonts w:cs="Arial"/>
        <w:b w:val="0"/>
        <w:bCs w:val="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251656192;visibility:visible">
          <v:imagedata r:id="rId1" o:title="" grayscale="t"/>
        </v:shape>
      </w:pict>
    </w:r>
  </w:p>
  <w:p w:rsidR="00B3515A" w:rsidRDefault="00B3515A" w:rsidP="00F34C67">
    <w:pPr>
      <w:pStyle w:val="Header"/>
      <w:jc w:val="left"/>
      <w:rPr>
        <w:rStyle w:val="Strong"/>
        <w:rFonts w:cs="Arial"/>
        <w:b w:val="0"/>
        <w:bCs w:val="0"/>
        <w:sz w:val="20"/>
        <w:szCs w:val="20"/>
      </w:rPr>
    </w:pPr>
    <w:r>
      <w:rPr>
        <w:rStyle w:val="Strong"/>
        <w:rFonts w:cs="Arial"/>
        <w:b w:val="0"/>
        <w:bCs w:val="0"/>
        <w:sz w:val="20"/>
        <w:szCs w:val="20"/>
      </w:rPr>
      <w:t>.</w:t>
    </w:r>
  </w:p>
  <w:p w:rsidR="00B3515A" w:rsidRDefault="00B3515A" w:rsidP="00F34C67">
    <w:pPr>
      <w:pStyle w:val="Header"/>
      <w:ind w:firstLine="0"/>
      <w:rPr>
        <w:rStyle w:val="Strong"/>
        <w:rFonts w:cs="Arial"/>
        <w:b w:val="0"/>
        <w:bCs w:val="0"/>
        <w:sz w:val="20"/>
        <w:szCs w:val="20"/>
      </w:rPr>
    </w:pPr>
  </w:p>
  <w:p w:rsidR="00B3515A" w:rsidRDefault="00B3515A" w:rsidP="00F34C67">
    <w:pPr>
      <w:pStyle w:val="Header"/>
      <w:ind w:firstLine="0"/>
      <w:jc w:val="center"/>
      <w:rPr>
        <w:rStyle w:val="Strong"/>
        <w:rFonts w:cs="Arial"/>
        <w:b w:val="0"/>
        <w:bCs w:val="0"/>
        <w:sz w:val="20"/>
        <w:szCs w:val="20"/>
      </w:rPr>
    </w:pPr>
  </w:p>
  <w:p w:rsidR="00B3515A" w:rsidRPr="00F34C67" w:rsidRDefault="00B3515A" w:rsidP="00F34C67">
    <w:pPr>
      <w:pStyle w:val="Header"/>
      <w:ind w:firstLine="0"/>
      <w:jc w:val="center"/>
      <w:rPr>
        <w:b/>
        <w:bCs/>
        <w:sz w:val="18"/>
        <w:szCs w:val="18"/>
      </w:rPr>
    </w:pPr>
    <w:r w:rsidRPr="00F34C67">
      <w:rPr>
        <w:rStyle w:val="Strong"/>
        <w:rFonts w:cs="Arial"/>
        <w:b w:val="0"/>
        <w:bCs w:val="0"/>
        <w:sz w:val="18"/>
        <w:szCs w:val="18"/>
      </w:rPr>
      <w:t>Rio Grande/RS, Brasil, 23 a 25 de outubro de 2013.</w:t>
    </w:r>
  </w:p>
  <w:p w:rsidR="00B3515A" w:rsidRDefault="00B3515A" w:rsidP="00F34C67">
    <w:pPr>
      <w:pStyle w:val="Header"/>
      <w:jc w:val="left"/>
      <w:rPr>
        <w:rStyle w:val="Strong"/>
        <w:rFonts w:cs="Arial"/>
        <w:b w:val="0"/>
        <w:bCs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26C0"/>
    <w:rsid w:val="000033F3"/>
    <w:rsid w:val="000F630E"/>
    <w:rsid w:val="00125006"/>
    <w:rsid w:val="00154D18"/>
    <w:rsid w:val="00185FE1"/>
    <w:rsid w:val="00187AF1"/>
    <w:rsid w:val="001C7B8C"/>
    <w:rsid w:val="001E496B"/>
    <w:rsid w:val="00203D0A"/>
    <w:rsid w:val="00203FDE"/>
    <w:rsid w:val="0022077A"/>
    <w:rsid w:val="0024774D"/>
    <w:rsid w:val="0029083B"/>
    <w:rsid w:val="002A5F31"/>
    <w:rsid w:val="002A7A57"/>
    <w:rsid w:val="002E43CE"/>
    <w:rsid w:val="003220E0"/>
    <w:rsid w:val="003C0392"/>
    <w:rsid w:val="003C14D9"/>
    <w:rsid w:val="003D2D99"/>
    <w:rsid w:val="003F0886"/>
    <w:rsid w:val="00493589"/>
    <w:rsid w:val="004B1952"/>
    <w:rsid w:val="004F7A69"/>
    <w:rsid w:val="00520FB9"/>
    <w:rsid w:val="0053079C"/>
    <w:rsid w:val="00532292"/>
    <w:rsid w:val="005470E1"/>
    <w:rsid w:val="00611B1A"/>
    <w:rsid w:val="00696F3D"/>
    <w:rsid w:val="006A2093"/>
    <w:rsid w:val="006A4184"/>
    <w:rsid w:val="006F1A5E"/>
    <w:rsid w:val="0070021A"/>
    <w:rsid w:val="0070619D"/>
    <w:rsid w:val="00711AA3"/>
    <w:rsid w:val="00731B6A"/>
    <w:rsid w:val="007734D9"/>
    <w:rsid w:val="007925E7"/>
    <w:rsid w:val="007C2D07"/>
    <w:rsid w:val="0080373E"/>
    <w:rsid w:val="008171D4"/>
    <w:rsid w:val="0082219D"/>
    <w:rsid w:val="00883F24"/>
    <w:rsid w:val="008E456A"/>
    <w:rsid w:val="00904B16"/>
    <w:rsid w:val="00920E39"/>
    <w:rsid w:val="00941544"/>
    <w:rsid w:val="0094338F"/>
    <w:rsid w:val="0095265A"/>
    <w:rsid w:val="009B0959"/>
    <w:rsid w:val="009D0723"/>
    <w:rsid w:val="009F1118"/>
    <w:rsid w:val="009F583E"/>
    <w:rsid w:val="00A00467"/>
    <w:rsid w:val="00A44B79"/>
    <w:rsid w:val="00A53C5A"/>
    <w:rsid w:val="00A756D1"/>
    <w:rsid w:val="00A771C1"/>
    <w:rsid w:val="00A802B0"/>
    <w:rsid w:val="00AE1068"/>
    <w:rsid w:val="00B11590"/>
    <w:rsid w:val="00B33824"/>
    <w:rsid w:val="00B3515A"/>
    <w:rsid w:val="00B57043"/>
    <w:rsid w:val="00B87D3A"/>
    <w:rsid w:val="00C341B4"/>
    <w:rsid w:val="00C47B84"/>
    <w:rsid w:val="00C63BFD"/>
    <w:rsid w:val="00C950B7"/>
    <w:rsid w:val="00CB05DE"/>
    <w:rsid w:val="00CB32A3"/>
    <w:rsid w:val="00CC3E16"/>
    <w:rsid w:val="00CF1B19"/>
    <w:rsid w:val="00D25A87"/>
    <w:rsid w:val="00D43862"/>
    <w:rsid w:val="00D740C6"/>
    <w:rsid w:val="00DD1B99"/>
    <w:rsid w:val="00DE6963"/>
    <w:rsid w:val="00E94A60"/>
    <w:rsid w:val="00EA51E0"/>
    <w:rsid w:val="00EB13F7"/>
    <w:rsid w:val="00EB72E2"/>
    <w:rsid w:val="00ED48A2"/>
    <w:rsid w:val="00EF1ED6"/>
    <w:rsid w:val="00F03937"/>
    <w:rsid w:val="00F3259B"/>
    <w:rsid w:val="00F34C67"/>
    <w:rsid w:val="00F56270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hAnsi="Arial" w:cs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723"/>
    <w:rPr>
      <w:rFonts w:ascii="Arial" w:eastAsia="Times New Roman" w:hAnsi="Arial" w:cs="Arial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28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rsid w:val="009D0723"/>
    <w:rPr>
      <w:rFonts w:ascii="Arial" w:hAnsi="Arial" w:cs="Arial"/>
      <w:b/>
      <w:bCs/>
      <w:caps/>
      <w:kern w:val="28"/>
      <w:sz w:val="32"/>
      <w:szCs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bCs/>
      <w:sz w:val="26"/>
      <w:szCs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iCs/>
      <w:kern w:val="0"/>
      <w:sz w:val="18"/>
      <w:szCs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szCs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90"/>
    <w:rPr>
      <w:rFonts w:ascii="Arial" w:eastAsia="Times New Roman" w:hAnsi="Arial" w:cs="Arial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90"/>
    <w:rPr>
      <w:rFonts w:ascii="Arial" w:eastAsia="Times New Roman" w:hAnsi="Arial" w:cs="Arial"/>
      <w:kern w:val="1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3F3"/>
    <w:rPr>
      <w:rFonts w:ascii="Arial" w:eastAsia="Times New Roman" w:hAnsi="Arial" w:cs="Arial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F3"/>
    <w:rPr>
      <w:rFonts w:ascii="Arial" w:eastAsia="Times New Roman" w:hAnsi="Arial" w:cs="Arial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53C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7D3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80373E"/>
    <w:rPr>
      <w:rFonts w:cs="Times New Roman"/>
      <w:color w:val="000000"/>
    </w:rPr>
  </w:style>
  <w:style w:type="character" w:styleId="Emphasis">
    <w:name w:val="Emphasis"/>
    <w:basedOn w:val="DefaultParagraphFont"/>
    <w:uiPriority w:val="99"/>
    <w:qFormat/>
    <w:rsid w:val="008037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803</Words>
  <Characters>4338</Characters>
  <Application>Microsoft Office Outlook</Application>
  <DocSecurity>0</DocSecurity>
  <Lines>0</Lines>
  <Paragraphs>0</Paragraphs>
  <ScaleCrop>false</ScaleCrop>
  <Company>FURG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EFEITO DE LEITE SABORIZADO COM POLPA DE MAÇÃ NO PESO DO FÍGADO DE RATOS WISTAR FÊMEAS (Rattus norvergicus)</dc:title>
  <dc:subject/>
  <dc:creator>DGI</dc:creator>
  <cp:keywords/>
  <dc:description/>
  <cp:lastModifiedBy>SAMC</cp:lastModifiedBy>
  <cp:revision>2</cp:revision>
  <cp:lastPrinted>2013-05-31T18:34:00Z</cp:lastPrinted>
  <dcterms:created xsi:type="dcterms:W3CDTF">2013-07-11T17:30:00Z</dcterms:created>
  <dcterms:modified xsi:type="dcterms:W3CDTF">2013-07-11T17:30:00Z</dcterms:modified>
</cp:coreProperties>
</file>