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A6" w:rsidRPr="0005511C" w:rsidRDefault="008625A6" w:rsidP="0005511C">
      <w:pPr>
        <w:jc w:val="center"/>
        <w:rPr>
          <w:rFonts w:cs="Arial"/>
          <w:b/>
          <w:shd w:val="clear" w:color="auto" w:fill="FFFFFF"/>
        </w:rPr>
      </w:pPr>
      <w:r w:rsidRPr="0005511C">
        <w:rPr>
          <w:rFonts w:cs="Arial"/>
          <w:b/>
          <w:shd w:val="clear" w:color="auto" w:fill="FFFFFF"/>
        </w:rPr>
        <w:t>PROGRAMA NACIONAL DE ALIMENTAÇÃO ESCOLAR E PRODUÇÃO DE BASE ECOLÓGICA: REPRESENTAÇÕES SOCIAIS DOS AGRICULTORES ECOLOGISTAS NO EXTREMO SUL GAÚCHO</w:t>
      </w:r>
    </w:p>
    <w:p w:rsidR="0029083B" w:rsidRPr="0005511C" w:rsidRDefault="0029083B" w:rsidP="0005511C">
      <w:pPr>
        <w:ind w:firstLine="0"/>
        <w:jc w:val="right"/>
        <w:rPr>
          <w:rFonts w:cs="Arial"/>
          <w:b/>
        </w:rPr>
      </w:pPr>
    </w:p>
    <w:p w:rsidR="004E6DB4" w:rsidRPr="00216937" w:rsidRDefault="004E6DB4" w:rsidP="0005511C">
      <w:pPr>
        <w:jc w:val="right"/>
        <w:rPr>
          <w:rFonts w:cs="Arial"/>
          <w:b/>
          <w:shd w:val="clear" w:color="auto" w:fill="FFFFFF"/>
        </w:rPr>
      </w:pPr>
      <w:r w:rsidRPr="00216937">
        <w:rPr>
          <w:rFonts w:cs="Arial"/>
          <w:b/>
          <w:shd w:val="clear" w:color="auto" w:fill="FFFFFF"/>
        </w:rPr>
        <w:t xml:space="preserve">CRUZ, Jéssica </w:t>
      </w:r>
      <w:proofErr w:type="spellStart"/>
      <w:proofErr w:type="gramStart"/>
      <w:r w:rsidRPr="00216937">
        <w:rPr>
          <w:rFonts w:cs="Arial"/>
          <w:b/>
          <w:shd w:val="clear" w:color="auto" w:fill="FFFFFF"/>
        </w:rPr>
        <w:t>Gonsalez</w:t>
      </w:r>
      <w:proofErr w:type="spellEnd"/>
      <w:proofErr w:type="gramEnd"/>
    </w:p>
    <w:p w:rsidR="004E6DB4" w:rsidRPr="00216937" w:rsidRDefault="004E6DB4" w:rsidP="0005511C">
      <w:pPr>
        <w:jc w:val="right"/>
        <w:rPr>
          <w:rFonts w:cs="Arial"/>
          <w:b/>
          <w:shd w:val="clear" w:color="auto" w:fill="FFFFFF"/>
        </w:rPr>
      </w:pPr>
      <w:r w:rsidRPr="00216937">
        <w:rPr>
          <w:rFonts w:cs="Arial"/>
          <w:b/>
          <w:shd w:val="clear" w:color="auto" w:fill="FFFFFF"/>
        </w:rPr>
        <w:t xml:space="preserve">ALTEMBURG, Shirley G. </w:t>
      </w:r>
      <w:proofErr w:type="gramStart"/>
      <w:r w:rsidRPr="00216937">
        <w:rPr>
          <w:rFonts w:cs="Arial"/>
          <w:b/>
          <w:shd w:val="clear" w:color="auto" w:fill="FFFFFF"/>
        </w:rPr>
        <w:t>Nascimento</w:t>
      </w:r>
      <w:proofErr w:type="gramEnd"/>
    </w:p>
    <w:p w:rsidR="004E6DB4" w:rsidRPr="00216937" w:rsidRDefault="005D0727" w:rsidP="0005511C">
      <w:pPr>
        <w:jc w:val="right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CALDAS, Nádia </w:t>
      </w:r>
      <w:proofErr w:type="spellStart"/>
      <w:r>
        <w:rPr>
          <w:rFonts w:cs="Arial"/>
          <w:b/>
          <w:shd w:val="clear" w:color="auto" w:fill="FFFFFF"/>
        </w:rPr>
        <w:t>Velleda</w:t>
      </w:r>
      <w:proofErr w:type="spellEnd"/>
    </w:p>
    <w:p w:rsidR="0029083B" w:rsidRPr="00216937" w:rsidRDefault="00A44A89" w:rsidP="0005511C">
      <w:pPr>
        <w:ind w:firstLine="0"/>
        <w:jc w:val="right"/>
        <w:rPr>
          <w:rFonts w:cs="Arial"/>
          <w:b/>
        </w:rPr>
      </w:pPr>
      <w:r>
        <w:fldChar w:fldCharType="begin"/>
      </w:r>
      <w:r>
        <w:instrText>HYPERLINK "mailto:Jessica.gonsalez@hotmail.com"</w:instrText>
      </w:r>
      <w:r>
        <w:fldChar w:fldCharType="separate"/>
      </w:r>
      <w:r w:rsidR="004E6DB4" w:rsidRPr="00216937">
        <w:rPr>
          <w:rStyle w:val="Hyperlink"/>
          <w:rFonts w:cs="Arial"/>
          <w:shd w:val="clear" w:color="auto" w:fill="FFFFFF"/>
        </w:rPr>
        <w:t>Jessica.gonsalez@hotmail.com</w:t>
      </w:r>
      <w:r>
        <w:fldChar w:fldCharType="end"/>
      </w:r>
    </w:p>
    <w:p w:rsidR="004E6DB4" w:rsidRPr="00216937" w:rsidRDefault="004E6DB4" w:rsidP="0005511C">
      <w:pPr>
        <w:ind w:firstLine="0"/>
        <w:jc w:val="right"/>
        <w:rPr>
          <w:rFonts w:cs="Arial"/>
          <w:b/>
        </w:rPr>
      </w:pPr>
      <w:r w:rsidRPr="00216937">
        <w:rPr>
          <w:rFonts w:cs="Arial"/>
          <w:b/>
        </w:rPr>
        <w:t>Evento: 12° MPU (Congresso de Iniciação Científica).</w:t>
      </w:r>
    </w:p>
    <w:p w:rsidR="00216937" w:rsidRPr="00216937" w:rsidRDefault="00711AA3" w:rsidP="00216937">
      <w:pPr>
        <w:ind w:firstLine="0"/>
        <w:jc w:val="right"/>
        <w:rPr>
          <w:rFonts w:cs="Arial"/>
          <w:b/>
        </w:rPr>
      </w:pPr>
      <w:r w:rsidRPr="00216937">
        <w:rPr>
          <w:rFonts w:cs="Arial"/>
          <w:b/>
        </w:rPr>
        <w:t>Área</w:t>
      </w:r>
      <w:r w:rsidR="00520FB9" w:rsidRPr="00216937">
        <w:rPr>
          <w:rFonts w:cs="Arial"/>
          <w:b/>
        </w:rPr>
        <w:t xml:space="preserve"> do conhecimento</w:t>
      </w:r>
      <w:r w:rsidRPr="00216937">
        <w:rPr>
          <w:rFonts w:cs="Arial"/>
          <w:b/>
        </w:rPr>
        <w:t xml:space="preserve">: </w:t>
      </w:r>
      <w:r w:rsidR="00695EBC">
        <w:rPr>
          <w:rFonts w:cs="Arial"/>
          <w:b/>
        </w:rPr>
        <w:t>Ciências Humanas</w:t>
      </w:r>
    </w:p>
    <w:p w:rsidR="004E6DB4" w:rsidRPr="00216937" w:rsidRDefault="009F1118" w:rsidP="00216937">
      <w:pPr>
        <w:ind w:firstLine="0"/>
        <w:jc w:val="right"/>
        <w:rPr>
          <w:rFonts w:cs="Arial"/>
          <w:b/>
        </w:rPr>
      </w:pPr>
      <w:r w:rsidRPr="00216937">
        <w:rPr>
          <w:rFonts w:cs="Arial"/>
          <w:b/>
        </w:rPr>
        <w:t xml:space="preserve">Palavras-chave </w:t>
      </w:r>
      <w:r w:rsidR="004E6DB4" w:rsidRPr="00216937">
        <w:rPr>
          <w:rFonts w:cs="Arial"/>
          <w:color w:val="000000"/>
          <w:shd w:val="clear" w:color="auto" w:fill="FFFFFF"/>
        </w:rPr>
        <w:t>agricultura familiar de base ecológica, segurança alimentar, Representações</w:t>
      </w:r>
      <w:r w:rsidR="004E6DB4" w:rsidRPr="0005511C">
        <w:rPr>
          <w:rFonts w:cs="Arial"/>
          <w:color w:val="000000"/>
          <w:shd w:val="clear" w:color="auto" w:fill="FFFFFF"/>
        </w:rPr>
        <w:t xml:space="preserve"> sociais.</w:t>
      </w:r>
    </w:p>
    <w:p w:rsidR="009D0723" w:rsidRPr="0005511C" w:rsidRDefault="0082219D" w:rsidP="00216937">
      <w:pPr>
        <w:pStyle w:val="Ttulodaseoprimria"/>
        <w:rPr>
          <w:rFonts w:cs="Arial"/>
        </w:rPr>
      </w:pPr>
      <w:proofErr w:type="gramStart"/>
      <w:r w:rsidRPr="0005511C">
        <w:rPr>
          <w:rFonts w:cs="Arial"/>
        </w:rPr>
        <w:t>1</w:t>
      </w:r>
      <w:proofErr w:type="gramEnd"/>
      <w:r w:rsidRPr="0005511C">
        <w:rPr>
          <w:rFonts w:cs="Arial"/>
        </w:rPr>
        <w:t xml:space="preserve"> INTRODUÇÃO</w:t>
      </w:r>
    </w:p>
    <w:p w:rsidR="004E6DB4" w:rsidRPr="0005511C" w:rsidRDefault="008E25DC" w:rsidP="0005511C">
      <w:pPr>
        <w:spacing w:before="120" w:after="120"/>
        <w:rPr>
          <w:rFonts w:cs="Arial"/>
        </w:rPr>
      </w:pPr>
      <w:r w:rsidRPr="0005511C">
        <w:rPr>
          <w:rFonts w:cs="Arial"/>
        </w:rPr>
        <w:t>O artigo em tela</w:t>
      </w:r>
      <w:r w:rsidR="004E6DB4" w:rsidRPr="0005511C">
        <w:rPr>
          <w:rFonts w:cs="Arial"/>
        </w:rPr>
        <w:t xml:space="preserve"> </w:t>
      </w:r>
      <w:r w:rsidRPr="0005511C">
        <w:rPr>
          <w:rFonts w:cs="Arial"/>
        </w:rPr>
        <w:t>analisa</w:t>
      </w:r>
      <w:r w:rsidR="004E6DB4" w:rsidRPr="0005511C">
        <w:rPr>
          <w:rFonts w:cs="Arial"/>
        </w:rPr>
        <w:t xml:space="preserve"> o papel das representações sociais em torno dos alimentos produzidos por agricultores familiares do extremo sul gaúcho, mais precisamente nos municípios de Canguçu, </w:t>
      </w:r>
      <w:proofErr w:type="spellStart"/>
      <w:r w:rsidR="004E6DB4" w:rsidRPr="0005511C">
        <w:rPr>
          <w:rFonts w:cs="Arial"/>
        </w:rPr>
        <w:t>Cerrito</w:t>
      </w:r>
      <w:proofErr w:type="spellEnd"/>
      <w:r w:rsidR="004E6DB4" w:rsidRPr="0005511C">
        <w:rPr>
          <w:rFonts w:cs="Arial"/>
        </w:rPr>
        <w:t xml:space="preserve"> e São Lourenço do Sul, destinados à alimentação escolar. Neste sentido, discutimos em que medida as representações em torno da alimentação por parte deste grupo de atores sociais – agricultores e escolares – influencia na maneira de produção e, por outro lado, reflete na segurança alimentar e nutricional em nosso país.</w:t>
      </w:r>
    </w:p>
    <w:p w:rsidR="004E6DB4" w:rsidRPr="0005511C" w:rsidRDefault="008E25DC" w:rsidP="0005511C">
      <w:pPr>
        <w:spacing w:before="120" w:after="120"/>
        <w:rPr>
          <w:rFonts w:cs="Arial"/>
        </w:rPr>
      </w:pPr>
      <w:r w:rsidRPr="0005511C">
        <w:rPr>
          <w:rFonts w:cs="Arial"/>
        </w:rPr>
        <w:t>Esta temática,</w:t>
      </w:r>
      <w:r w:rsidR="004E6DB4" w:rsidRPr="0005511C">
        <w:rPr>
          <w:rFonts w:cs="Arial"/>
        </w:rPr>
        <w:t xml:space="preserve"> amplamente debatido nos dias atuais teve suas primeiras referências no Brasil em meados da década de 1980, com a criação de uma Política Nacional de Segurança Alimentar que visava atender às necessidades alimentares da população e atingir a </w:t>
      </w:r>
      <w:proofErr w:type="spellStart"/>
      <w:proofErr w:type="gramStart"/>
      <w:r w:rsidR="004E6DB4" w:rsidRPr="0005511C">
        <w:rPr>
          <w:rFonts w:cs="Arial"/>
        </w:rPr>
        <w:t>auto-suficiência</w:t>
      </w:r>
      <w:proofErr w:type="spellEnd"/>
      <w:proofErr w:type="gramEnd"/>
      <w:r w:rsidR="004E6DB4" w:rsidRPr="0005511C">
        <w:rPr>
          <w:rFonts w:cs="Arial"/>
        </w:rPr>
        <w:t xml:space="preserve"> nacional na produção de alimentos (HIRAI e SACCO DOS ANJOS, 2007).</w:t>
      </w:r>
    </w:p>
    <w:p w:rsidR="008E25DC" w:rsidRPr="0005511C" w:rsidRDefault="008E25DC" w:rsidP="0005511C">
      <w:pPr>
        <w:spacing w:before="120" w:after="120"/>
        <w:ind w:firstLine="851"/>
        <w:rPr>
          <w:rFonts w:cs="Arial"/>
        </w:rPr>
      </w:pPr>
      <w:r w:rsidRPr="0005511C">
        <w:rPr>
          <w:rFonts w:cs="Arial"/>
        </w:rPr>
        <w:t>Tendo como meta o direito à alimentação apropriada, que atenda aos princípios nutricionais de convívio social e de respeito às culturas alimentares, o PNAE (Programa Nacional de Alimentação Escolar) constitui uma das estratégias da vigente política de segurança alimentar e nutricional do país para combater a fome, a desnutrição e problemas relacionados às mudanças no padrão de consumo alimentar da população nas últimas décadas.</w:t>
      </w:r>
    </w:p>
    <w:p w:rsidR="009D0723" w:rsidRPr="0005511C" w:rsidRDefault="0082219D" w:rsidP="0005511C">
      <w:pPr>
        <w:pStyle w:val="Ttulodaseoprimria"/>
        <w:rPr>
          <w:rFonts w:cs="Arial"/>
        </w:rPr>
      </w:pPr>
      <w:proofErr w:type="gramStart"/>
      <w:r w:rsidRPr="0005511C">
        <w:rPr>
          <w:rFonts w:cs="Arial"/>
        </w:rPr>
        <w:t>2</w:t>
      </w:r>
      <w:proofErr w:type="gramEnd"/>
      <w:r w:rsidRPr="0005511C">
        <w:rPr>
          <w:rFonts w:cs="Arial"/>
        </w:rPr>
        <w:t xml:space="preserve"> </w:t>
      </w:r>
      <w:r w:rsidR="0005511C" w:rsidRPr="0005511C">
        <w:rPr>
          <w:rFonts w:cs="Arial"/>
        </w:rPr>
        <w:t>PROCEDIMENTO METODOLÓGICO</w:t>
      </w:r>
    </w:p>
    <w:p w:rsidR="0005511C" w:rsidRPr="0005511C" w:rsidRDefault="0005511C" w:rsidP="0005511C">
      <w:pPr>
        <w:spacing w:before="120" w:after="120"/>
        <w:rPr>
          <w:rFonts w:cs="Arial"/>
        </w:rPr>
      </w:pPr>
      <w:r w:rsidRPr="0005511C">
        <w:rPr>
          <w:rFonts w:cs="Arial"/>
        </w:rPr>
        <w:t xml:space="preserve">De forma a responder as questões atinentes ao nosso objetivo realizamos uma pesquisa qualitativa, a qual considera o universo de significados, motivos, aspirações, crenças, valores e atitudes, que corresponde a um espaço mais profundo das relações, dos processos e dos fenômenos que não podem ser reduzidos à operacionalização de variáveis (MINAYO, 1995). Para tanto, utilizamos como técnica de coleta de dados entrevistas em profundidade, realizadas com quatorze agricultores familiares, diretamente envolvidos com o PNAE. Os resultados foram processados através de análise de conteúdo, segundo o método proposto por </w:t>
      </w:r>
      <w:proofErr w:type="spellStart"/>
      <w:r w:rsidRPr="0005511C">
        <w:rPr>
          <w:rFonts w:cs="Arial"/>
        </w:rPr>
        <w:t>Bardin</w:t>
      </w:r>
      <w:proofErr w:type="spellEnd"/>
      <w:r w:rsidRPr="0005511C">
        <w:rPr>
          <w:rFonts w:cs="Arial"/>
        </w:rPr>
        <w:t xml:space="preserve"> (2011). </w:t>
      </w:r>
    </w:p>
    <w:p w:rsidR="009D0723" w:rsidRPr="0005511C" w:rsidRDefault="0082219D" w:rsidP="0005511C">
      <w:pPr>
        <w:pStyle w:val="Ttulodaseoprimria"/>
        <w:rPr>
          <w:rFonts w:cs="Arial"/>
        </w:rPr>
      </w:pPr>
      <w:proofErr w:type="gramStart"/>
      <w:r w:rsidRPr="0005511C">
        <w:rPr>
          <w:rFonts w:cs="Arial"/>
        </w:rPr>
        <w:t>3</w:t>
      </w:r>
      <w:proofErr w:type="gramEnd"/>
      <w:r w:rsidRPr="0005511C">
        <w:rPr>
          <w:rFonts w:cs="Arial"/>
        </w:rPr>
        <w:t xml:space="preserve"> </w:t>
      </w:r>
      <w:r w:rsidR="0029083B" w:rsidRPr="0005511C">
        <w:rPr>
          <w:rFonts w:cs="Arial"/>
        </w:rPr>
        <w:t xml:space="preserve">RESULTADOS </w:t>
      </w:r>
      <w:r w:rsidR="009F1118" w:rsidRPr="0005511C">
        <w:rPr>
          <w:rFonts w:cs="Arial"/>
        </w:rPr>
        <w:t>e</w:t>
      </w:r>
      <w:r w:rsidR="0029083B" w:rsidRPr="0005511C">
        <w:rPr>
          <w:rFonts w:cs="Arial"/>
        </w:rPr>
        <w:t xml:space="preserve"> DISCUSSÃO </w:t>
      </w:r>
    </w:p>
    <w:p w:rsidR="0005511C" w:rsidRPr="0005511C" w:rsidRDefault="0005511C" w:rsidP="0005511C">
      <w:pPr>
        <w:rPr>
          <w:rFonts w:cs="Arial"/>
        </w:rPr>
      </w:pPr>
      <w:r w:rsidRPr="0005511C">
        <w:rPr>
          <w:rFonts w:cs="Arial"/>
        </w:rPr>
        <w:t xml:space="preserve">A partir do contato com a realidade constatamos o quanto os agricultores familiares têm clareza da importância de se produzir agroecologicamente, seja para fornecer ao PNAE ou a outro canal de comercialização. Em seus </w:t>
      </w:r>
      <w:r w:rsidRPr="0005511C">
        <w:rPr>
          <w:rFonts w:cs="Arial"/>
        </w:rPr>
        <w:lastRenderedPageBreak/>
        <w:t xml:space="preserve">depoimentos, os entrevistados manifestaram suas inquietações com a despreocupação existente atualmente em torno da alimentação, principalmente em relação às crianças. Deste modo, veem o PNAE para além de uma oportunidade de mercado, mas sim como uma ponte para interligar a valorização dos produtos locais com a construção da soberania e segurança </w:t>
      </w:r>
      <w:proofErr w:type="gramStart"/>
      <w:r w:rsidRPr="0005511C">
        <w:rPr>
          <w:rFonts w:cs="Arial"/>
        </w:rPr>
        <w:t>alimentar</w:t>
      </w:r>
      <w:proofErr w:type="gramEnd"/>
      <w:r w:rsidRPr="0005511C">
        <w:rPr>
          <w:rFonts w:cs="Arial"/>
        </w:rPr>
        <w:t xml:space="preserve">. </w:t>
      </w:r>
    </w:p>
    <w:p w:rsidR="0005511C" w:rsidRPr="0005511C" w:rsidRDefault="0005511C" w:rsidP="0005511C">
      <w:pPr>
        <w:spacing w:before="120" w:after="120"/>
        <w:rPr>
          <w:rFonts w:cs="Arial"/>
        </w:rPr>
      </w:pPr>
      <w:r w:rsidRPr="0005511C">
        <w:rPr>
          <w:rFonts w:cs="Arial"/>
        </w:rPr>
        <w:t xml:space="preserve">Vale destacar que entre os principais resultados, as representações sociais dos agricultores em relação </w:t>
      </w:r>
      <w:proofErr w:type="gramStart"/>
      <w:r w:rsidRPr="0005511C">
        <w:rPr>
          <w:rFonts w:cs="Arial"/>
        </w:rPr>
        <w:t>à</w:t>
      </w:r>
      <w:proofErr w:type="gramEnd"/>
      <w:r w:rsidRPr="0005511C">
        <w:rPr>
          <w:rFonts w:cs="Arial"/>
        </w:rPr>
        <w:t xml:space="preserve"> um alimento saudável remetem a um gênero produzido sem agrotóxicos, sem qualquer produto que faça mal a saúde, tanto de quem consome quanto de quem produz e, que igualmente também não agrida a natureza. Nestes termos, segundo a opinião dos entrevistados, estaria </w:t>
      </w:r>
      <w:proofErr w:type="gramStart"/>
      <w:r w:rsidRPr="0005511C">
        <w:rPr>
          <w:rFonts w:cs="Arial"/>
        </w:rPr>
        <w:t>garantida a segurança alimentar</w:t>
      </w:r>
      <w:proofErr w:type="gramEnd"/>
      <w:r w:rsidRPr="0005511C">
        <w:rPr>
          <w:rFonts w:cs="Arial"/>
        </w:rPr>
        <w:t xml:space="preserve"> tanto de quem consome quanto de quem os produz.</w:t>
      </w:r>
    </w:p>
    <w:p w:rsidR="009D0723" w:rsidRPr="0005511C" w:rsidRDefault="0082219D" w:rsidP="0005511C">
      <w:pPr>
        <w:pStyle w:val="Ttulodaseoprimria"/>
        <w:rPr>
          <w:rFonts w:cs="Arial"/>
          <w:sz w:val="24"/>
        </w:rPr>
      </w:pPr>
      <w:proofErr w:type="gramStart"/>
      <w:r w:rsidRPr="0005511C">
        <w:rPr>
          <w:rFonts w:cs="Arial"/>
          <w:sz w:val="24"/>
        </w:rPr>
        <w:t>4</w:t>
      </w:r>
      <w:proofErr w:type="gramEnd"/>
      <w:r w:rsidRPr="0005511C">
        <w:rPr>
          <w:rFonts w:cs="Arial"/>
          <w:sz w:val="24"/>
        </w:rPr>
        <w:t xml:space="preserve"> CONSIDERAÇÕES FINAIS</w:t>
      </w:r>
    </w:p>
    <w:p w:rsidR="0005511C" w:rsidRPr="0005511C" w:rsidRDefault="00216937" w:rsidP="0005511C">
      <w:pPr>
        <w:ind w:firstLine="851"/>
        <w:rPr>
          <w:rFonts w:cs="Arial"/>
        </w:rPr>
      </w:pPr>
      <w:r>
        <w:rPr>
          <w:rFonts w:cs="Arial"/>
        </w:rPr>
        <w:t>Constatamos com</w:t>
      </w:r>
      <w:r w:rsidR="0005511C" w:rsidRPr="0005511C">
        <w:rPr>
          <w:rFonts w:cs="Arial"/>
        </w:rPr>
        <w:t xml:space="preserve"> </w:t>
      </w:r>
      <w:r>
        <w:rPr>
          <w:rFonts w:cs="Arial"/>
        </w:rPr>
        <w:t>esta</w:t>
      </w:r>
      <w:r w:rsidR="0005511C" w:rsidRPr="0005511C">
        <w:rPr>
          <w:rFonts w:cs="Arial"/>
        </w:rPr>
        <w:t xml:space="preserve"> </w:t>
      </w:r>
      <w:r>
        <w:rPr>
          <w:rFonts w:cs="Arial"/>
        </w:rPr>
        <w:t>investigação</w:t>
      </w:r>
      <w:r w:rsidR="0005511C" w:rsidRPr="0005511C">
        <w:rPr>
          <w:rFonts w:cs="Arial"/>
        </w:rPr>
        <w:t xml:space="preserve"> que para o grupo de agricultores investigados as representações sociais sobre alimento saudável estão associad</w:t>
      </w:r>
      <w:r w:rsidR="0005511C" w:rsidRPr="0005511C">
        <w:rPr>
          <w:rFonts w:cs="Arial"/>
          <w:color w:val="000000"/>
        </w:rPr>
        <w:t>as</w:t>
      </w:r>
      <w:r w:rsidR="0005511C" w:rsidRPr="0005511C">
        <w:rPr>
          <w:rFonts w:cs="Arial"/>
        </w:rPr>
        <w:t xml:space="preserve"> aos alimentos produzidos sem o uso agrotóxicos e respeito aos ciclos da natureza. Deste modo, não há prejuízos ao ambiente, a suas saúde e</w:t>
      </w:r>
      <w:proofErr w:type="gramStart"/>
      <w:r w:rsidR="0005511C" w:rsidRPr="0005511C">
        <w:rPr>
          <w:rFonts w:cs="Arial"/>
        </w:rPr>
        <w:t xml:space="preserve"> sobretudo</w:t>
      </w:r>
      <w:proofErr w:type="gramEnd"/>
      <w:r w:rsidR="0005511C" w:rsidRPr="0005511C">
        <w:rPr>
          <w:rFonts w:cs="Arial"/>
        </w:rPr>
        <w:t xml:space="preserve"> a de quem os consomem.</w:t>
      </w:r>
    </w:p>
    <w:p w:rsidR="0005511C" w:rsidRPr="0005511C" w:rsidRDefault="0005511C" w:rsidP="0005511C">
      <w:pPr>
        <w:ind w:firstLine="851"/>
        <w:rPr>
          <w:rFonts w:cs="Arial"/>
        </w:rPr>
      </w:pPr>
      <w:r w:rsidRPr="0005511C">
        <w:rPr>
          <w:rFonts w:cs="Arial"/>
        </w:rPr>
        <w:t xml:space="preserve"> Através das inflexões propostas neste trabalho torna-se evidente que a agricultura familiar de base ecológica possui papel fundamental na concretização de formas sustentáveis de produção. Este fato é reflexo das representações sociais que possuem os agricultores familiares ecologistas sobre a importância da qualidade de seu trabalho, do valor dos alimentos produzidos, do respeito ao ambiente e</w:t>
      </w:r>
      <w:proofErr w:type="gramStart"/>
      <w:r w:rsidRPr="0005511C">
        <w:rPr>
          <w:rFonts w:cs="Arial"/>
        </w:rPr>
        <w:t xml:space="preserve"> sobretudo</w:t>
      </w:r>
      <w:proofErr w:type="gramEnd"/>
      <w:r w:rsidRPr="0005511C">
        <w:rPr>
          <w:rFonts w:cs="Arial"/>
        </w:rPr>
        <w:t xml:space="preserve"> do respeito aos consumidores de seus produtos. Como mostraram os resultados do trabalho</w:t>
      </w:r>
      <w:r w:rsidRPr="0005511C">
        <w:rPr>
          <w:rFonts w:cs="Arial"/>
          <w:color w:val="00B050"/>
        </w:rPr>
        <w:t>,</w:t>
      </w:r>
      <w:r w:rsidRPr="0005511C">
        <w:rPr>
          <w:rFonts w:cs="Arial"/>
        </w:rPr>
        <w:t xml:space="preserve"> o que rege este tipo de produção não é o acesso aos mercados embora estes sejam essenciais para a manutenção das famílias agricultoras e sim o compromisso social que estes atores assumem para si. </w:t>
      </w:r>
    </w:p>
    <w:p w:rsidR="00216937" w:rsidRDefault="0082219D" w:rsidP="00216937">
      <w:pPr>
        <w:pStyle w:val="Ttulodaseoprimria"/>
        <w:jc w:val="left"/>
        <w:rPr>
          <w:rFonts w:cs="Arial"/>
        </w:rPr>
      </w:pPr>
      <w:r w:rsidRPr="0005511C">
        <w:rPr>
          <w:rFonts w:cs="Arial"/>
        </w:rPr>
        <w:t>REFERÊNCIAS</w:t>
      </w:r>
    </w:p>
    <w:p w:rsidR="00216937" w:rsidRDefault="00216937" w:rsidP="00216937">
      <w:pPr>
        <w:pStyle w:val="Ttulodaseoprimria"/>
        <w:jc w:val="left"/>
        <w:rPr>
          <w:rFonts w:cs="Arial"/>
        </w:rPr>
      </w:pPr>
    </w:p>
    <w:p w:rsidR="00216937" w:rsidRPr="00216937" w:rsidRDefault="00216937" w:rsidP="00216937">
      <w:pPr>
        <w:pStyle w:val="Ttulodaseoprimria"/>
        <w:jc w:val="left"/>
        <w:rPr>
          <w:rFonts w:cs="Arial"/>
          <w:b w:val="0"/>
          <w:sz w:val="24"/>
        </w:rPr>
      </w:pPr>
      <w:r w:rsidRPr="00216937">
        <w:rPr>
          <w:rFonts w:cs="Arial"/>
          <w:b w:val="0"/>
          <w:sz w:val="24"/>
        </w:rPr>
        <w:t>BARDIN, Laurence. Análise de Conteúdo. Lisboa: Edições 70, 2010.</w:t>
      </w:r>
    </w:p>
    <w:p w:rsidR="00216937" w:rsidRPr="00216937" w:rsidRDefault="00216937" w:rsidP="00216937">
      <w:pPr>
        <w:pStyle w:val="Ttulodaseoprimria"/>
        <w:jc w:val="left"/>
        <w:rPr>
          <w:rFonts w:cs="Arial"/>
          <w:b w:val="0"/>
        </w:rPr>
      </w:pPr>
      <w:r w:rsidRPr="00216937">
        <w:rPr>
          <w:rFonts w:cs="Arial"/>
          <w:b w:val="0"/>
          <w:bCs/>
          <w:sz w:val="24"/>
        </w:rPr>
        <w:t xml:space="preserve">BRASIL Presidência da República, Casa Civil, Lei Nº 11.947, de 16 de junho de 2009, </w:t>
      </w:r>
      <w:r w:rsidRPr="00216937">
        <w:rPr>
          <w:rFonts w:cs="Arial"/>
          <w:b w:val="0"/>
          <w:sz w:val="24"/>
        </w:rPr>
        <w:t>Dispõe sobre o atendimento da alimentação escolar e do Programa Dinheiro Direto na Escola aos alunos da educação básica. Disponível em: &lt;</w:t>
      </w:r>
      <w:r w:rsidRPr="00216937">
        <w:rPr>
          <w:rFonts w:cs="Arial"/>
          <w:b w:val="0"/>
          <w:bCs/>
          <w:sz w:val="24"/>
        </w:rPr>
        <w:t>http://www.planalto.gov.br/ccivil_03/_Ato2007-2010/2009/Lei/L11947.htm</w:t>
      </w:r>
      <w:r w:rsidRPr="00216937">
        <w:rPr>
          <w:rFonts w:cs="Arial"/>
          <w:b w:val="0"/>
          <w:sz w:val="24"/>
        </w:rPr>
        <w:t>&gt;. Acesso em Junho 2011.</w:t>
      </w:r>
    </w:p>
    <w:p w:rsidR="00216937" w:rsidRPr="00216937" w:rsidRDefault="00216937" w:rsidP="00216937">
      <w:pPr>
        <w:pStyle w:val="Referncias"/>
        <w:spacing w:before="0" w:after="0"/>
      </w:pPr>
      <w:r w:rsidRPr="00216937">
        <w:t xml:space="preserve">HIRAI, </w:t>
      </w:r>
      <w:proofErr w:type="spellStart"/>
      <w:r w:rsidRPr="00216937">
        <w:t>W.G.</w:t>
      </w:r>
      <w:proofErr w:type="spellEnd"/>
      <w:r w:rsidRPr="00216937">
        <w:t>, SACCO DOS ANJOS, F. Estado e segurança alimentar: alcances e limitações de políticas públicas no Brasil. Revista Virtual Textos &amp; Contextos, Nº 8, ano VI, dez. 2007.</w:t>
      </w:r>
    </w:p>
    <w:p w:rsidR="00216937" w:rsidRPr="00216937" w:rsidRDefault="00216937" w:rsidP="00216937">
      <w:pPr>
        <w:pStyle w:val="Referncias"/>
        <w:spacing w:before="0" w:after="0"/>
      </w:pPr>
      <w:r w:rsidRPr="00216937">
        <w:t xml:space="preserve">MINAYO, M. C. S. Ciência, técnica e arte: o desafio da pesquisa social. In: MINAYO, M. </w:t>
      </w:r>
      <w:proofErr w:type="spellStart"/>
      <w:r w:rsidRPr="00216937">
        <w:t>C.S.</w:t>
      </w:r>
      <w:proofErr w:type="spellEnd"/>
      <w:r w:rsidRPr="00216937">
        <w:t xml:space="preserve"> Pesquisa Social: teoria, método e criatividade. </w:t>
      </w:r>
      <w:proofErr w:type="gramStart"/>
      <w:r w:rsidRPr="00216937">
        <w:t>4</w:t>
      </w:r>
      <w:proofErr w:type="gramEnd"/>
      <w:r w:rsidRPr="00216937">
        <w:t xml:space="preserve"> ed. Petrópolis: Vozes, p. 7-29. (Coleção Temas Sociais). 1995.</w:t>
      </w:r>
    </w:p>
    <w:p w:rsidR="0082219D" w:rsidRPr="00216937" w:rsidRDefault="0082219D" w:rsidP="00216937">
      <w:pPr>
        <w:pStyle w:val="Leyendadefiguraotabla"/>
        <w:spacing w:before="0" w:after="0"/>
        <w:ind w:firstLine="0"/>
        <w:jc w:val="left"/>
        <w:rPr>
          <w:rFonts w:cs="Arial"/>
        </w:rPr>
      </w:pPr>
    </w:p>
    <w:sectPr w:rsidR="0082219D" w:rsidRPr="00216937" w:rsidSect="00055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AAB" w:rsidRDefault="00735AAB" w:rsidP="00B11590">
      <w:r>
        <w:separator/>
      </w:r>
    </w:p>
  </w:endnote>
  <w:endnote w:type="continuationSeparator" w:id="0">
    <w:p w:rsidR="00735AAB" w:rsidRDefault="00735AAB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1F" w:rsidRDefault="008B411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1F" w:rsidRDefault="008B411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1F" w:rsidRDefault="008B41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AAB" w:rsidRDefault="00735AAB" w:rsidP="00B11590">
      <w:r>
        <w:separator/>
      </w:r>
    </w:p>
  </w:footnote>
  <w:footnote w:type="continuationSeparator" w:id="0">
    <w:p w:rsidR="00735AAB" w:rsidRDefault="00735AAB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1F" w:rsidRDefault="008B411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8B411F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1F" w:rsidRDefault="008B411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5511C"/>
    <w:rsid w:val="0008103A"/>
    <w:rsid w:val="000F630E"/>
    <w:rsid w:val="00125006"/>
    <w:rsid w:val="00185FE1"/>
    <w:rsid w:val="001A0510"/>
    <w:rsid w:val="001C7B8C"/>
    <w:rsid w:val="001E496B"/>
    <w:rsid w:val="00203D0A"/>
    <w:rsid w:val="00216937"/>
    <w:rsid w:val="0024774D"/>
    <w:rsid w:val="0029083B"/>
    <w:rsid w:val="002A7A57"/>
    <w:rsid w:val="003220E0"/>
    <w:rsid w:val="003C0392"/>
    <w:rsid w:val="00436A84"/>
    <w:rsid w:val="00493589"/>
    <w:rsid w:val="004B3B35"/>
    <w:rsid w:val="004E6DB4"/>
    <w:rsid w:val="004F7A69"/>
    <w:rsid w:val="00520FB9"/>
    <w:rsid w:val="005D0727"/>
    <w:rsid w:val="00695EBC"/>
    <w:rsid w:val="006A4184"/>
    <w:rsid w:val="006F1A5E"/>
    <w:rsid w:val="0070021A"/>
    <w:rsid w:val="00711AA3"/>
    <w:rsid w:val="00731B6A"/>
    <w:rsid w:val="00735AAB"/>
    <w:rsid w:val="007C2D07"/>
    <w:rsid w:val="0082219D"/>
    <w:rsid w:val="008625A6"/>
    <w:rsid w:val="008B411F"/>
    <w:rsid w:val="008E25DC"/>
    <w:rsid w:val="00941544"/>
    <w:rsid w:val="009B0959"/>
    <w:rsid w:val="009D0723"/>
    <w:rsid w:val="009F1118"/>
    <w:rsid w:val="00A44A89"/>
    <w:rsid w:val="00A756D1"/>
    <w:rsid w:val="00A771C1"/>
    <w:rsid w:val="00A802B0"/>
    <w:rsid w:val="00B11590"/>
    <w:rsid w:val="00C341B4"/>
    <w:rsid w:val="00C47B84"/>
    <w:rsid w:val="00C950B7"/>
    <w:rsid w:val="00CC3E16"/>
    <w:rsid w:val="00CF1B19"/>
    <w:rsid w:val="00D25A87"/>
    <w:rsid w:val="00D43862"/>
    <w:rsid w:val="00D740C6"/>
    <w:rsid w:val="00DD1B99"/>
    <w:rsid w:val="00DE6963"/>
    <w:rsid w:val="00EA51E0"/>
    <w:rsid w:val="00EB13F7"/>
    <w:rsid w:val="00EB1797"/>
    <w:rsid w:val="00F34C67"/>
    <w:rsid w:val="00F56270"/>
    <w:rsid w:val="00F65AE9"/>
    <w:rsid w:val="00FB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5080-1E72-4699-A63B-1036F98B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Jéssica Cruz</cp:lastModifiedBy>
  <cp:revision>6</cp:revision>
  <cp:lastPrinted>2013-05-31T18:34:00Z</cp:lastPrinted>
  <dcterms:created xsi:type="dcterms:W3CDTF">2013-06-24T01:16:00Z</dcterms:created>
  <dcterms:modified xsi:type="dcterms:W3CDTF">2013-07-01T11:02:00Z</dcterms:modified>
</cp:coreProperties>
</file>