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645AB" w14:textId="381B59DC" w:rsidR="0059345E" w:rsidRDefault="0059345E" w:rsidP="0029083B">
      <w:pPr>
        <w:ind w:firstLine="0"/>
        <w:jc w:val="center"/>
        <w:rPr>
          <w:b/>
        </w:rPr>
      </w:pPr>
      <w:r>
        <w:rPr>
          <w:b/>
        </w:rPr>
        <w:t xml:space="preserve">Efeito do extrato de cianobactéria em </w:t>
      </w:r>
      <w:r w:rsidRPr="006B49E3">
        <w:rPr>
          <w:b/>
          <w:i/>
        </w:rPr>
        <w:t>GST</w:t>
      </w:r>
      <w:r w:rsidR="006B49E3" w:rsidRPr="006B49E3">
        <w:rPr>
          <w:b/>
          <w:i/>
        </w:rPr>
        <w:t>-</w:t>
      </w:r>
      <w:r w:rsidRPr="006B49E3">
        <w:rPr>
          <w:b/>
          <w:i/>
        </w:rPr>
        <w:t>MAPEG</w:t>
      </w:r>
      <w:r>
        <w:rPr>
          <w:b/>
        </w:rPr>
        <w:t xml:space="preserve"> e </w:t>
      </w:r>
      <w:r w:rsidR="006B49E3" w:rsidRPr="006B49E3">
        <w:rPr>
          <w:b/>
          <w:i/>
        </w:rPr>
        <w:t>GST-</w:t>
      </w:r>
      <w:r w:rsidRPr="006B49E3">
        <w:rPr>
          <w:b/>
          <w:i/>
        </w:rPr>
        <w:t>Kappa</w:t>
      </w:r>
      <w:r>
        <w:rPr>
          <w:b/>
        </w:rPr>
        <w:t xml:space="preserve"> de ze</w:t>
      </w:r>
      <w:r w:rsidR="006B49E3">
        <w:rPr>
          <w:b/>
        </w:rPr>
        <w:t>b</w:t>
      </w:r>
      <w:r>
        <w:rPr>
          <w:b/>
        </w:rPr>
        <w:t>rafish</w:t>
      </w:r>
    </w:p>
    <w:p w14:paraId="2704918E" w14:textId="77777777" w:rsidR="0029083B" w:rsidRDefault="0029083B" w:rsidP="0029083B">
      <w:pPr>
        <w:ind w:firstLine="0"/>
        <w:jc w:val="right"/>
        <w:rPr>
          <w:b/>
        </w:rPr>
      </w:pPr>
    </w:p>
    <w:p w14:paraId="7550B4CC" w14:textId="77777777" w:rsidR="0029083B" w:rsidRDefault="0029083B" w:rsidP="0029083B">
      <w:pPr>
        <w:ind w:firstLine="0"/>
        <w:jc w:val="right"/>
        <w:rPr>
          <w:b/>
        </w:rPr>
      </w:pPr>
    </w:p>
    <w:p w14:paraId="3434E980" w14:textId="77777777" w:rsidR="00C47B84" w:rsidRDefault="006135F7" w:rsidP="0029083B">
      <w:pPr>
        <w:ind w:firstLine="0"/>
        <w:jc w:val="right"/>
        <w:rPr>
          <w:b/>
        </w:rPr>
      </w:pPr>
      <w:r>
        <w:rPr>
          <w:b/>
        </w:rPr>
        <w:t>RIBEIRO, Eduardo</w:t>
      </w:r>
      <w:r w:rsidR="006F13D5">
        <w:rPr>
          <w:b/>
        </w:rPr>
        <w:t xml:space="preserve"> Silveira</w:t>
      </w:r>
      <w:bookmarkStart w:id="0" w:name="_GoBack"/>
      <w:bookmarkEnd w:id="0"/>
      <w:r w:rsidR="006F13D5">
        <w:rPr>
          <w:b/>
        </w:rPr>
        <w:t xml:space="preserve">; MUHL, Mainara; SOPESKI, Mauricio da Silva; YUNES, João Sarkis </w:t>
      </w:r>
    </w:p>
    <w:p w14:paraId="6CEEA2D9" w14:textId="77777777" w:rsidR="00C47B84" w:rsidRDefault="00AB4FC1" w:rsidP="0029083B">
      <w:pPr>
        <w:ind w:firstLine="0"/>
        <w:jc w:val="right"/>
        <w:rPr>
          <w:b/>
        </w:rPr>
      </w:pPr>
      <w:r>
        <w:rPr>
          <w:b/>
        </w:rPr>
        <w:t>Za</w:t>
      </w:r>
      <w:r w:rsidR="006135F7">
        <w:rPr>
          <w:b/>
        </w:rPr>
        <w:t>nette</w:t>
      </w:r>
      <w:r>
        <w:rPr>
          <w:b/>
        </w:rPr>
        <w:t>,</w:t>
      </w:r>
      <w:r w:rsidR="00C47B84">
        <w:rPr>
          <w:b/>
        </w:rPr>
        <w:t xml:space="preserve"> </w:t>
      </w:r>
      <w:r w:rsidR="006135F7">
        <w:rPr>
          <w:b/>
        </w:rPr>
        <w:t>Juliano</w:t>
      </w:r>
    </w:p>
    <w:p w14:paraId="19EA4663" w14:textId="77777777" w:rsidR="00C47B84" w:rsidRDefault="006135F7" w:rsidP="00A771C1">
      <w:pPr>
        <w:ind w:firstLine="0"/>
        <w:jc w:val="right"/>
        <w:rPr>
          <w:b/>
        </w:rPr>
      </w:pPr>
      <w:r>
        <w:rPr>
          <w:b/>
        </w:rPr>
        <w:t>eduardosilveiraribeiro@yahoo.com</w:t>
      </w:r>
    </w:p>
    <w:p w14:paraId="4B9AF8A4" w14:textId="77777777" w:rsidR="00A771C1" w:rsidRDefault="00A771C1" w:rsidP="00A771C1">
      <w:pPr>
        <w:ind w:firstLine="0"/>
        <w:jc w:val="right"/>
        <w:rPr>
          <w:b/>
        </w:rPr>
      </w:pPr>
    </w:p>
    <w:p w14:paraId="134179A8" w14:textId="77777777" w:rsidR="00520FB9" w:rsidRPr="00484999" w:rsidRDefault="00520FB9" w:rsidP="00484999">
      <w:pPr>
        <w:pStyle w:val="Cabealho"/>
        <w:jc w:val="right"/>
        <w:rPr>
          <w:b/>
          <w:bCs/>
        </w:rPr>
      </w:pPr>
      <w:r>
        <w:rPr>
          <w:b/>
        </w:rPr>
        <w:t xml:space="preserve">Evento: </w:t>
      </w:r>
      <w:r w:rsidR="00484999" w:rsidRPr="00E10B97">
        <w:rPr>
          <w:rStyle w:val="Forte"/>
        </w:rPr>
        <w:t>13ª Mostra da Produção Universitária</w:t>
      </w:r>
    </w:p>
    <w:p w14:paraId="51E4DFD9" w14:textId="77777777"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6F13D5">
        <w:rPr>
          <w:b/>
        </w:rPr>
        <w:t>Ciências Biológicas, Bioquímica</w:t>
      </w:r>
    </w:p>
    <w:p w14:paraId="546C5C0D" w14:textId="77777777" w:rsidR="001A10FF" w:rsidRPr="00FB3E05" w:rsidRDefault="001A10FF" w:rsidP="00711AA3">
      <w:pPr>
        <w:ind w:firstLine="0"/>
        <w:jc w:val="right"/>
        <w:rPr>
          <w:b/>
        </w:rPr>
      </w:pPr>
    </w:p>
    <w:p w14:paraId="5C143EDB" w14:textId="77777777"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6135F7" w:rsidRPr="009D717C">
        <w:rPr>
          <w:i/>
        </w:rPr>
        <w:t>GST</w:t>
      </w:r>
      <w:r w:rsidR="006135F7">
        <w:t>; zebrafish</w:t>
      </w:r>
      <w:r w:rsidR="00A56E01" w:rsidRPr="00BE7921">
        <w:t xml:space="preserve">; </w:t>
      </w:r>
      <w:r w:rsidR="00D16F3A" w:rsidRPr="00D16F3A">
        <w:rPr>
          <w:i/>
        </w:rPr>
        <w:t>Microcystis</w:t>
      </w:r>
    </w:p>
    <w:p w14:paraId="0FBC3320" w14:textId="77777777" w:rsidR="003220E0" w:rsidRPr="00FB3E05" w:rsidRDefault="003220E0" w:rsidP="0029083B">
      <w:pPr>
        <w:pStyle w:val="Ttulodaseoprimria"/>
      </w:pPr>
    </w:p>
    <w:p w14:paraId="627D2771" w14:textId="2CB206D8" w:rsidR="009D0723" w:rsidRPr="00B85630" w:rsidRDefault="0082219D" w:rsidP="00C03DCF">
      <w:pPr>
        <w:pStyle w:val="Ttulodaseoprimria"/>
      </w:pPr>
      <w:r w:rsidRPr="007345DE">
        <w:t>1 INTRODUÇÃO</w:t>
      </w:r>
    </w:p>
    <w:p w14:paraId="390C0675" w14:textId="04B02342" w:rsidR="009D0723" w:rsidRDefault="00D81B7D" w:rsidP="00E471C3">
      <w:pPr>
        <w:ind w:firstLine="708"/>
      </w:pPr>
      <w:r>
        <w:t xml:space="preserve">Neste experimento, </w:t>
      </w:r>
      <w:r w:rsidR="00744673">
        <w:t xml:space="preserve">peixes foram expostos </w:t>
      </w:r>
      <w:r>
        <w:t>a um extrato</w:t>
      </w:r>
      <w:r w:rsidR="00744673">
        <w:t xml:space="preserve"> d</w:t>
      </w:r>
      <w:r w:rsidR="007C1CFC">
        <w:t>a cianobactéria</w:t>
      </w:r>
      <w:r w:rsidR="00744673">
        <w:t xml:space="preserve"> </w:t>
      </w:r>
      <w:r w:rsidR="00744673" w:rsidRPr="00744673">
        <w:rPr>
          <w:i/>
        </w:rPr>
        <w:t>Microcystis</w:t>
      </w:r>
      <w:r>
        <w:rPr>
          <w:i/>
        </w:rPr>
        <w:t xml:space="preserve"> sp.</w:t>
      </w:r>
      <w:r w:rsidR="00744673">
        <w:t xml:space="preserve">, a fim de </w:t>
      </w:r>
      <w:r>
        <w:t>avaliar</w:t>
      </w:r>
      <w:r w:rsidR="00744673">
        <w:t xml:space="preserve"> </w:t>
      </w:r>
      <w:r w:rsidR="007C1CFC">
        <w:t>as respostas transcricionais</w:t>
      </w:r>
      <w:r w:rsidR="00744673">
        <w:t xml:space="preserve"> de algumas iso</w:t>
      </w:r>
      <w:r w:rsidR="001B4287">
        <w:t xml:space="preserve">formas de </w:t>
      </w:r>
      <w:r w:rsidR="001B4287" w:rsidRPr="009D717C">
        <w:rPr>
          <w:i/>
        </w:rPr>
        <w:t>GST</w:t>
      </w:r>
      <w:r w:rsidR="001B4287">
        <w:t xml:space="preserve"> (MIC 1, MIC 3 e Kappa</w:t>
      </w:r>
      <w:r w:rsidR="003C1769">
        <w:t>)</w:t>
      </w:r>
      <w:r w:rsidR="00744673">
        <w:t xml:space="preserve"> </w:t>
      </w:r>
      <w:r w:rsidR="003C1769">
        <w:t>n</w:t>
      </w:r>
      <w:r w:rsidR="00744673">
        <w:t xml:space="preserve">o fígado e </w:t>
      </w:r>
      <w:r w:rsidR="003C1769">
        <w:t>n</w:t>
      </w:r>
      <w:r w:rsidR="009D717C">
        <w:t>as brânquias.</w:t>
      </w:r>
    </w:p>
    <w:p w14:paraId="1E37BE81" w14:textId="44BD676F" w:rsidR="001A10FF" w:rsidRPr="00C03DCF" w:rsidRDefault="001A10FF" w:rsidP="001A10FF">
      <w:pPr>
        <w:ind w:firstLine="0"/>
        <w:jc w:val="left"/>
        <w:rPr>
          <w:b/>
          <w:sz w:val="26"/>
          <w:szCs w:val="26"/>
        </w:rPr>
      </w:pPr>
      <w:r w:rsidRPr="003C1769">
        <w:rPr>
          <w:b/>
          <w:sz w:val="26"/>
          <w:szCs w:val="26"/>
        </w:rPr>
        <w:t>2 REFERENCIAL TEÓRICO</w:t>
      </w:r>
    </w:p>
    <w:p w14:paraId="545A6916" w14:textId="7A959A07" w:rsidR="0074759D" w:rsidRDefault="002A6CB8" w:rsidP="001A4EC1">
      <w:pPr>
        <w:ind w:firstLine="708"/>
      </w:pPr>
      <w:r>
        <w:t xml:space="preserve">Peixes podem ser utilizados como alvos para estudos de contaminação ambiental, e também, para estudos mecanísticos em toxicologia. </w:t>
      </w:r>
      <w:r w:rsidR="008C1F91">
        <w:t>O</w:t>
      </w:r>
      <w:r>
        <w:t xml:space="preserve"> zebrafish (</w:t>
      </w:r>
      <w:r w:rsidRPr="00140EFB">
        <w:rPr>
          <w:i/>
        </w:rPr>
        <w:t>Danio rerio</w:t>
      </w:r>
      <w:r>
        <w:t>) é muito bem descrito na literatura como um peixe modelo em estudos toxicológicos (H</w:t>
      </w:r>
      <w:r w:rsidR="009D717C">
        <w:t>INTON</w:t>
      </w:r>
      <w:r>
        <w:t xml:space="preserve">, 2009). </w:t>
      </w:r>
      <w:r w:rsidR="0074759D">
        <w:t>A</w:t>
      </w:r>
      <w:r>
        <w:t xml:space="preserve"> vida destes peixes é afetada com a</w:t>
      </w:r>
      <w:r w:rsidRPr="003408D1">
        <w:t xml:space="preserve"> contaminação ambiental</w:t>
      </w:r>
      <w:r>
        <w:t xml:space="preserve">, </w:t>
      </w:r>
      <w:r w:rsidR="0074759D">
        <w:t xml:space="preserve">e os sistemas bioquímicos que atuam na biotransformação destes </w:t>
      </w:r>
      <w:r w:rsidR="007C1CFC">
        <w:t>compostos</w:t>
      </w:r>
      <w:r w:rsidR="0074759D">
        <w:t xml:space="preserve"> podem ser utilizados como biomarcadores </w:t>
      </w:r>
      <w:r w:rsidR="007C1CFC">
        <w:t>ambientais</w:t>
      </w:r>
      <w:r w:rsidR="0074759D">
        <w:t xml:space="preserve"> (NICHOLS et al., 2006)</w:t>
      </w:r>
    </w:p>
    <w:p w14:paraId="423A1127" w14:textId="5355BACC" w:rsidR="001A10FF" w:rsidRPr="004D3431" w:rsidRDefault="000D1EB9" w:rsidP="00E471C3">
      <w:pPr>
        <w:ind w:firstLine="708"/>
      </w:pPr>
      <w:r w:rsidRPr="003408D1">
        <w:t>As glutationa S-transferases</w:t>
      </w:r>
      <w:r w:rsidR="00031BCF">
        <w:t xml:space="preserve"> (GSTs)</w:t>
      </w:r>
      <w:r w:rsidRPr="003408D1">
        <w:t xml:space="preserve"> </w:t>
      </w:r>
      <w:r w:rsidR="008C1F91">
        <w:t>compõe</w:t>
      </w:r>
      <w:r w:rsidRPr="003408D1">
        <w:t xml:space="preserve"> uma família multigênica de enzimas de detoxificação</w:t>
      </w:r>
      <w:r w:rsidR="00031BCF">
        <w:t>, de localização citosólicas, microssomais (MAPEG) ou mitocondriais (Kappa)</w:t>
      </w:r>
      <w:r w:rsidRPr="003408D1">
        <w:t xml:space="preserve"> </w:t>
      </w:r>
      <w:r w:rsidR="00991E84">
        <w:t>(Suzuki et al., 2005).</w:t>
      </w:r>
      <w:r w:rsidR="00031BCF">
        <w:t xml:space="preserve"> </w:t>
      </w:r>
      <w:r w:rsidR="00991E84">
        <w:t>Diversos</w:t>
      </w:r>
      <w:r w:rsidR="00484999">
        <w:t xml:space="preserve"> substratos são </w:t>
      </w:r>
      <w:r w:rsidRPr="003408D1">
        <w:t xml:space="preserve">metabolizados pelas </w:t>
      </w:r>
      <w:r w:rsidRPr="0074759D">
        <w:rPr>
          <w:i/>
        </w:rPr>
        <w:t>GSTs</w:t>
      </w:r>
      <w:r w:rsidR="00031BCF">
        <w:t xml:space="preserve">, incluindo </w:t>
      </w:r>
      <w:r w:rsidRPr="003408D1">
        <w:t>xenobióticos eletrofílicos</w:t>
      </w:r>
      <w:r>
        <w:t xml:space="preserve"> </w:t>
      </w:r>
      <w:r w:rsidRPr="003408D1">
        <w:t>tóxicos que são conjugados por estas enzimas,</w:t>
      </w:r>
      <w:r w:rsidR="00991E84">
        <w:t xml:space="preserve"> </w:t>
      </w:r>
      <w:r>
        <w:t>como</w:t>
      </w:r>
      <w:r w:rsidRPr="003408D1">
        <w:t xml:space="preserve"> </w:t>
      </w:r>
      <w:r w:rsidR="00991E84">
        <w:t>por exemplo</w:t>
      </w:r>
      <w:r w:rsidR="00031BCF">
        <w:t xml:space="preserve"> as</w:t>
      </w:r>
      <w:r w:rsidRPr="003408D1">
        <w:t xml:space="preserve"> </w:t>
      </w:r>
      <w:r w:rsidR="008C1F91">
        <w:t>ciano</w:t>
      </w:r>
      <w:r w:rsidR="001A4EC1" w:rsidRPr="003408D1">
        <w:t>toxinas</w:t>
      </w:r>
      <w:r w:rsidR="00991E84">
        <w:t>. (DI GIULIO</w:t>
      </w:r>
      <w:r w:rsidRPr="003408D1">
        <w:t>, 2008).</w:t>
      </w:r>
    </w:p>
    <w:p w14:paraId="453FB7B3" w14:textId="1AEC18ED" w:rsidR="003220E0" w:rsidRPr="00FA5B50" w:rsidRDefault="001A10FF" w:rsidP="0029083B">
      <w:pPr>
        <w:pStyle w:val="Ttulodaseoprimria"/>
      </w:pPr>
      <w:r>
        <w:t>3</w:t>
      </w:r>
      <w:r w:rsidR="0082219D" w:rsidRPr="00FA5B50">
        <w:t xml:space="preserve"> MATERIAIS E MÉTODOS</w:t>
      </w:r>
      <w:r w:rsidR="009F1118">
        <w:t xml:space="preserve"> </w:t>
      </w:r>
    </w:p>
    <w:p w14:paraId="4DDCA5D9" w14:textId="0EBC58B1" w:rsidR="00DC68DA" w:rsidRPr="00E471C3" w:rsidRDefault="00916E04" w:rsidP="00E471C3">
      <w:r>
        <w:t xml:space="preserve">Peixes </w:t>
      </w:r>
      <w:r w:rsidRPr="008C1F91">
        <w:rPr>
          <w:i/>
        </w:rPr>
        <w:t>D. rerio</w:t>
      </w:r>
      <w:r w:rsidRPr="00F62EAB">
        <w:t xml:space="preserve"> adultos</w:t>
      </w:r>
      <w:r>
        <w:t xml:space="preserve"> foram expostos por 24 h a</w:t>
      </w:r>
      <w:r w:rsidR="00F62EAB" w:rsidRPr="00F62EAB">
        <w:t xml:space="preserve"> duas concentrações ambientalmente relevantes e sub-letais </w:t>
      </w:r>
      <w:r w:rsidR="00F3670C">
        <w:t xml:space="preserve">de extrato de </w:t>
      </w:r>
      <w:r w:rsidR="00F3670C" w:rsidRPr="00F3670C">
        <w:rPr>
          <w:i/>
        </w:rPr>
        <w:t xml:space="preserve">Microcystis sp. </w:t>
      </w:r>
      <w:r>
        <w:t>c</w:t>
      </w:r>
      <w:r w:rsidR="00F3670C">
        <w:t xml:space="preserve">ontendo </w:t>
      </w:r>
      <w:r>
        <w:t xml:space="preserve">0, </w:t>
      </w:r>
      <w:r w:rsidR="00F62EAB" w:rsidRPr="00F62EAB">
        <w:t xml:space="preserve">5 e 50 </w:t>
      </w:r>
      <w:r w:rsidR="00D16F3A">
        <w:t>u</w:t>
      </w:r>
      <w:r w:rsidR="00F3670C">
        <w:t>g de Microcistina-LR/L</w:t>
      </w:r>
      <w:r>
        <w:t>.</w:t>
      </w:r>
      <w:r w:rsidR="00F62EAB" w:rsidRPr="00F62EAB">
        <w:t xml:space="preserve"> Amostras </w:t>
      </w:r>
      <w:r>
        <w:t>de</w:t>
      </w:r>
      <w:r w:rsidR="00F62EAB" w:rsidRPr="00F62EAB">
        <w:t xml:space="preserve"> brânquia e fígado de </w:t>
      </w:r>
      <w:r w:rsidR="00F62EAB" w:rsidRPr="00F3670C">
        <w:rPr>
          <w:i/>
        </w:rPr>
        <w:t>D. rerio</w:t>
      </w:r>
      <w:r w:rsidR="00F62EAB" w:rsidRPr="00F62EAB">
        <w:t xml:space="preserve"> dos três grupos (n=15 por grupo), foram dissecados e homogeneizados para extração de RNA total com TRIzol. A qualidade e quantidade de RNA foram determinadas </w:t>
      </w:r>
      <w:r>
        <w:t>por eletroforese em gel e por expectrofotometria</w:t>
      </w:r>
      <w:r w:rsidR="00F62EAB" w:rsidRPr="00F62EAB">
        <w:t>. O RNA foi transcrito reversamente para cDNA. Iniciadores específicos foram desenhados com o software Primer3 para quantificação da ex</w:t>
      </w:r>
      <w:r w:rsidR="00F62EAB">
        <w:t xml:space="preserve">pressão gênica das </w:t>
      </w:r>
      <w:r w:rsidR="000F64B4">
        <w:t>três</w:t>
      </w:r>
      <w:r w:rsidR="00F62EAB">
        <w:t xml:space="preserve"> </w:t>
      </w:r>
      <w:r w:rsidR="00F62EAB" w:rsidRPr="00F73246">
        <w:rPr>
          <w:i/>
        </w:rPr>
        <w:t>GSTs</w:t>
      </w:r>
      <w:r w:rsidR="00F62EAB">
        <w:t xml:space="preserve"> (duas microssomais e uma mitocondrial)</w:t>
      </w:r>
      <w:r w:rsidR="00F62EAB" w:rsidRPr="00F62EAB">
        <w:t xml:space="preserve"> por PCR em tempo real (qPCR). C</w:t>
      </w:r>
      <w:r w:rsidR="005938C5">
        <w:t>ada amostra foi analisada em duplicata</w:t>
      </w:r>
      <w:r w:rsidR="00F62EAB" w:rsidRPr="00F62EAB">
        <w:t xml:space="preserve">. O método </w:t>
      </w:r>
      <w:r>
        <w:t>E</w:t>
      </w:r>
      <w:r w:rsidRPr="00916E04">
        <w:rPr>
          <w:vertAlign w:val="superscript"/>
        </w:rPr>
        <w:t>-</w:t>
      </w:r>
      <w:r w:rsidR="00D16F3A">
        <w:rPr>
          <w:rFonts w:cs="Arial"/>
          <w:vertAlign w:val="superscript"/>
        </w:rPr>
        <w:t>∆</w:t>
      </w:r>
      <w:r>
        <w:rPr>
          <w:vertAlign w:val="superscript"/>
        </w:rPr>
        <w:t>C</w:t>
      </w:r>
      <w:r w:rsidR="00D16F3A">
        <w:rPr>
          <w:vertAlign w:val="superscript"/>
        </w:rPr>
        <w:t>t</w:t>
      </w:r>
      <w:r w:rsidR="00D16F3A">
        <w:t xml:space="preserve"> </w:t>
      </w:r>
      <w:r w:rsidR="005E03DE">
        <w:t>foi utilizado</w:t>
      </w:r>
      <w:r w:rsidR="00F62EAB" w:rsidRPr="00F62EAB">
        <w:t xml:space="preserve"> para comparar os níveis de expressão das diferentes </w:t>
      </w:r>
      <w:r w:rsidR="00F62EAB" w:rsidRPr="00F73246">
        <w:rPr>
          <w:i/>
        </w:rPr>
        <w:t>GSTs</w:t>
      </w:r>
      <w:r w:rsidR="00F62EAB" w:rsidRPr="00F62EAB">
        <w:t xml:space="preserve"> em fígado e brânquia para o tratamento de MC em relação ao grupo controle. Os resultados para os grupos experimentais foram analisados quanto a sua normalidade e homocedasticidade, transformados logarit</w:t>
      </w:r>
      <w:r w:rsidR="00484999">
        <w:t>i</w:t>
      </w:r>
      <w:r w:rsidR="00F62EAB" w:rsidRPr="00F62EAB">
        <w:t>mamente se necessário. As diferenças entre os grupos experimentais foram analisados utilizando ANOVA, com test</w:t>
      </w:r>
      <w:r w:rsidR="006C6611">
        <w:t>e a posteriori de Tukey, p&lt;0.05.</w:t>
      </w:r>
    </w:p>
    <w:p w14:paraId="58317BD7" w14:textId="79236842" w:rsidR="009D0723" w:rsidRPr="00C03DCF" w:rsidRDefault="001A10FF" w:rsidP="00C03DCF">
      <w:pPr>
        <w:pStyle w:val="Ttulodaseoprimria"/>
      </w:pPr>
      <w:r>
        <w:t>4</w:t>
      </w:r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14:paraId="35DBBFCE" w14:textId="2A14FDEC" w:rsidR="00A771C1" w:rsidRDefault="00692173" w:rsidP="00F73246">
      <w:r>
        <w:rPr>
          <w:rFonts w:cs="Arial"/>
        </w:rPr>
        <w:t xml:space="preserve">Após a devida </w:t>
      </w:r>
      <w:r w:rsidR="00260AED">
        <w:rPr>
          <w:rFonts w:cs="Arial"/>
        </w:rPr>
        <w:t xml:space="preserve">análise </w:t>
      </w:r>
      <w:r w:rsidR="000F64B4">
        <w:rPr>
          <w:rFonts w:cs="Arial"/>
        </w:rPr>
        <w:t xml:space="preserve">do gráfico abaixo (Figura 1), </w:t>
      </w:r>
      <w:r w:rsidR="00260AED">
        <w:rPr>
          <w:rFonts w:cs="Arial"/>
        </w:rPr>
        <w:t xml:space="preserve">das </w:t>
      </w:r>
      <w:r w:rsidR="00260AED" w:rsidRPr="00C13B99">
        <w:rPr>
          <w:rFonts w:cs="Arial"/>
          <w:i/>
        </w:rPr>
        <w:t>GSTs</w:t>
      </w:r>
      <w:r w:rsidR="00260AED">
        <w:rPr>
          <w:rFonts w:cs="Arial"/>
        </w:rPr>
        <w:t xml:space="preserve"> </w:t>
      </w:r>
      <w:r w:rsidR="00031BCF">
        <w:rPr>
          <w:rFonts w:cs="Arial"/>
        </w:rPr>
        <w:t>MAPEG (</w:t>
      </w:r>
      <w:r w:rsidR="00260AED">
        <w:rPr>
          <w:rFonts w:cs="Arial"/>
        </w:rPr>
        <w:t>MIC 1</w:t>
      </w:r>
      <w:r w:rsidR="00031BCF">
        <w:rPr>
          <w:rFonts w:cs="Arial"/>
        </w:rPr>
        <w:t xml:space="preserve"> e</w:t>
      </w:r>
      <w:r w:rsidR="00260AED">
        <w:rPr>
          <w:rFonts w:cs="Arial"/>
        </w:rPr>
        <w:t xml:space="preserve"> MIC 3</w:t>
      </w:r>
      <w:r w:rsidR="00031BCF">
        <w:rPr>
          <w:rFonts w:cs="Arial"/>
        </w:rPr>
        <w:t>) e</w:t>
      </w:r>
      <w:r w:rsidR="00260AED">
        <w:rPr>
          <w:rFonts w:cs="Arial"/>
        </w:rPr>
        <w:t xml:space="preserve"> </w:t>
      </w:r>
      <w:r w:rsidR="00260AED" w:rsidRPr="00C13B99">
        <w:rPr>
          <w:rFonts w:cs="Arial"/>
          <w:i/>
        </w:rPr>
        <w:t>GST</w:t>
      </w:r>
      <w:r w:rsidR="00260AED">
        <w:rPr>
          <w:rFonts w:cs="Arial"/>
        </w:rPr>
        <w:t xml:space="preserve"> KAPPA</w:t>
      </w:r>
      <w:r w:rsidR="00C13B99">
        <w:rPr>
          <w:rFonts w:cs="Arial"/>
        </w:rPr>
        <w:t>, c</w:t>
      </w:r>
      <w:r w:rsidR="000F64B4">
        <w:rPr>
          <w:rFonts w:cs="Arial"/>
        </w:rPr>
        <w:t xml:space="preserve">onstatou-se uma </w:t>
      </w:r>
      <w:r w:rsidR="00302E87">
        <w:rPr>
          <w:rFonts w:cs="Arial"/>
        </w:rPr>
        <w:t>repressão</w:t>
      </w:r>
      <w:r w:rsidR="000F64B4">
        <w:rPr>
          <w:rFonts w:cs="Arial"/>
        </w:rPr>
        <w:t xml:space="preserve"> na expressão gênica para a GST MIC 1 em brânquia, e</w:t>
      </w:r>
      <w:r w:rsidR="00302E87">
        <w:rPr>
          <w:rFonts w:cs="Arial"/>
        </w:rPr>
        <w:t xml:space="preserve"> uma indução</w:t>
      </w:r>
      <w:r w:rsidR="000F64B4">
        <w:rPr>
          <w:rFonts w:cs="Arial"/>
        </w:rPr>
        <w:t xml:space="preserve"> para a </w:t>
      </w:r>
      <w:r w:rsidR="000F64B4" w:rsidRPr="00302E87">
        <w:rPr>
          <w:rFonts w:cs="Arial"/>
          <w:i/>
        </w:rPr>
        <w:t>GST</w:t>
      </w:r>
      <w:r w:rsidR="00260AED">
        <w:rPr>
          <w:rFonts w:cs="Arial"/>
        </w:rPr>
        <w:t xml:space="preserve"> </w:t>
      </w:r>
      <w:r w:rsidR="000F64B4">
        <w:rPr>
          <w:rFonts w:cs="Arial"/>
        </w:rPr>
        <w:t>KAPPA em fígado.</w:t>
      </w:r>
      <w:r w:rsidR="00A85F3B">
        <w:rPr>
          <w:rFonts w:cs="Arial"/>
        </w:rPr>
        <w:t xml:space="preserve"> Não houve </w:t>
      </w:r>
      <w:r w:rsidR="00A85F3B">
        <w:rPr>
          <w:rFonts w:cs="Arial"/>
        </w:rPr>
        <w:lastRenderedPageBreak/>
        <w:t xml:space="preserve">nenhuma variação nas outras </w:t>
      </w:r>
      <w:r w:rsidR="00A85F3B" w:rsidRPr="00C13B99">
        <w:rPr>
          <w:rFonts w:cs="Arial"/>
          <w:i/>
        </w:rPr>
        <w:t>GSTs</w:t>
      </w:r>
      <w:r w:rsidR="00A85F3B">
        <w:rPr>
          <w:rFonts w:cs="Arial"/>
        </w:rPr>
        <w:t xml:space="preserve"> de acordo com a </w:t>
      </w:r>
      <w:r w:rsidR="007C1CFC">
        <w:rPr>
          <w:rFonts w:cs="Arial"/>
        </w:rPr>
        <w:t xml:space="preserve">análise </w:t>
      </w:r>
      <w:r w:rsidR="00A85F3B">
        <w:rPr>
          <w:rFonts w:cs="Arial"/>
        </w:rPr>
        <w:t>estatística</w:t>
      </w:r>
      <w:r w:rsidR="007C1CFC">
        <w:rPr>
          <w:rFonts w:cs="Arial"/>
        </w:rPr>
        <w:t xml:space="preserve"> utilizada</w:t>
      </w:r>
      <w:r w:rsidR="00A85F3B">
        <w:rPr>
          <w:rFonts w:cs="Arial"/>
        </w:rPr>
        <w:t>.</w:t>
      </w:r>
    </w:p>
    <w:p w14:paraId="4A5A0798" w14:textId="0C793D4D" w:rsidR="009D0723" w:rsidRDefault="00B744AA" w:rsidP="008C1F91">
      <w:pPr>
        <w:ind w:firstLine="0"/>
        <w:jc w:val="center"/>
      </w:pPr>
      <w:r>
        <w:rPr>
          <w:noProof/>
        </w:rPr>
        <w:drawing>
          <wp:inline distT="0" distB="0" distL="0" distR="0" wp14:anchorId="22316387" wp14:editId="6D56DBF0">
            <wp:extent cx="5760085" cy="17811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MPU uma linh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2302D" w14:textId="77777777" w:rsidR="008C1F91" w:rsidRPr="008C1F91" w:rsidRDefault="008C1F91" w:rsidP="00390312">
      <w:pPr>
        <w:pStyle w:val="Leyendadefiguraotabla"/>
        <w:spacing w:before="0" w:after="0"/>
        <w:ind w:firstLine="0"/>
        <w:jc w:val="both"/>
        <w:rPr>
          <w:sz w:val="20"/>
          <w:szCs w:val="20"/>
        </w:rPr>
      </w:pPr>
      <w:r w:rsidRPr="0082219D">
        <w:rPr>
          <w:rFonts w:cs="Arial"/>
          <w:i w:val="0"/>
          <w:sz w:val="20"/>
          <w:szCs w:val="20"/>
          <w:lang w:val="pt-BR"/>
        </w:rPr>
        <w:t xml:space="preserve">Figura 1 – </w:t>
      </w:r>
      <w:r>
        <w:rPr>
          <w:rFonts w:cs="Arial"/>
          <w:i w:val="0"/>
          <w:sz w:val="20"/>
          <w:szCs w:val="20"/>
          <w:lang w:val="pt-BR"/>
        </w:rPr>
        <w:t xml:space="preserve">Expressão gênica das </w:t>
      </w:r>
      <w:r w:rsidRPr="008C1F91">
        <w:rPr>
          <w:rFonts w:cs="Arial"/>
          <w:sz w:val="20"/>
          <w:szCs w:val="20"/>
          <w:lang w:val="pt-BR"/>
        </w:rPr>
        <w:t>GSTs</w:t>
      </w:r>
      <w:r>
        <w:rPr>
          <w:rFonts w:cs="Arial"/>
          <w:i w:val="0"/>
          <w:sz w:val="20"/>
          <w:szCs w:val="20"/>
          <w:lang w:val="pt-BR"/>
        </w:rPr>
        <w:t xml:space="preserve"> </w:t>
      </w:r>
      <w:r w:rsidR="00390312">
        <w:rPr>
          <w:rFonts w:cs="Arial"/>
          <w:i w:val="0"/>
          <w:sz w:val="20"/>
          <w:szCs w:val="20"/>
          <w:lang w:val="pt-BR"/>
        </w:rPr>
        <w:t>microssomal 1 e 3 (</w:t>
      </w:r>
      <w:r w:rsidR="00390312" w:rsidRPr="00390312">
        <w:rPr>
          <w:rFonts w:cs="Arial"/>
          <w:sz w:val="20"/>
          <w:szCs w:val="20"/>
          <w:lang w:val="pt-BR"/>
        </w:rPr>
        <w:t>MIC 1</w:t>
      </w:r>
      <w:r w:rsidR="00390312">
        <w:rPr>
          <w:rFonts w:cs="Arial"/>
          <w:i w:val="0"/>
          <w:sz w:val="20"/>
          <w:szCs w:val="20"/>
          <w:lang w:val="pt-BR"/>
        </w:rPr>
        <w:t xml:space="preserve"> e </w:t>
      </w:r>
      <w:r w:rsidR="00390312" w:rsidRPr="00390312">
        <w:rPr>
          <w:rFonts w:cs="Arial"/>
          <w:sz w:val="20"/>
          <w:szCs w:val="20"/>
          <w:lang w:val="pt-BR"/>
        </w:rPr>
        <w:t>MIC 3</w:t>
      </w:r>
      <w:r w:rsidR="00390312">
        <w:rPr>
          <w:rFonts w:cs="Arial"/>
          <w:i w:val="0"/>
          <w:sz w:val="20"/>
          <w:szCs w:val="20"/>
          <w:lang w:val="pt-BR"/>
        </w:rPr>
        <w:t xml:space="preserve">) e </w:t>
      </w:r>
      <w:r w:rsidR="00390312" w:rsidRPr="00390312">
        <w:rPr>
          <w:rFonts w:cs="Arial"/>
          <w:sz w:val="20"/>
          <w:szCs w:val="20"/>
          <w:lang w:val="pt-BR"/>
        </w:rPr>
        <w:t>Kappa</w:t>
      </w:r>
      <w:r w:rsidR="00390312">
        <w:rPr>
          <w:rFonts w:cs="Arial"/>
          <w:i w:val="0"/>
          <w:sz w:val="20"/>
          <w:szCs w:val="20"/>
          <w:lang w:val="pt-BR"/>
        </w:rPr>
        <w:t xml:space="preserve">, </w:t>
      </w:r>
      <w:r>
        <w:rPr>
          <w:rFonts w:cs="Arial"/>
          <w:i w:val="0"/>
          <w:sz w:val="20"/>
          <w:szCs w:val="20"/>
          <w:lang w:val="pt-BR"/>
        </w:rPr>
        <w:t>em brânquia e fígado</w:t>
      </w:r>
      <w:r w:rsidR="00390312">
        <w:rPr>
          <w:rFonts w:cs="Arial"/>
          <w:i w:val="0"/>
          <w:sz w:val="20"/>
          <w:szCs w:val="20"/>
          <w:lang w:val="pt-BR"/>
        </w:rPr>
        <w:t xml:space="preserve"> dos grupos controle (Control) e</w:t>
      </w:r>
      <w:r w:rsidR="00916E04">
        <w:rPr>
          <w:rFonts w:cs="Arial"/>
          <w:i w:val="0"/>
          <w:sz w:val="20"/>
          <w:szCs w:val="20"/>
          <w:lang w:val="pt-BR"/>
        </w:rPr>
        <w:t xml:space="preserve"> expostos a </w:t>
      </w:r>
      <w:r w:rsidR="00916E04" w:rsidRPr="00390312">
        <w:rPr>
          <w:rFonts w:cs="Arial"/>
          <w:sz w:val="20"/>
          <w:szCs w:val="20"/>
          <w:lang w:val="pt-BR"/>
        </w:rPr>
        <w:t xml:space="preserve">Mycocistis sp. </w:t>
      </w:r>
      <w:r w:rsidR="00916E04">
        <w:rPr>
          <w:rFonts w:cs="Arial"/>
          <w:i w:val="0"/>
          <w:sz w:val="20"/>
          <w:szCs w:val="20"/>
          <w:lang w:val="pt-BR"/>
        </w:rPr>
        <w:t>(5ug.</w:t>
      </w:r>
      <w:r w:rsidR="00390312">
        <w:rPr>
          <w:rFonts w:cs="Arial"/>
          <w:i w:val="0"/>
          <w:sz w:val="20"/>
          <w:szCs w:val="20"/>
          <w:lang w:val="pt-BR"/>
        </w:rPr>
        <w:t>L</w:t>
      </w:r>
      <w:r w:rsidR="00916E04" w:rsidRPr="00916E04">
        <w:rPr>
          <w:rFonts w:cs="Arial"/>
          <w:i w:val="0"/>
          <w:sz w:val="20"/>
          <w:szCs w:val="20"/>
          <w:vertAlign w:val="superscript"/>
          <w:lang w:val="pt-BR"/>
        </w:rPr>
        <w:t>-1</w:t>
      </w:r>
      <w:r w:rsidR="00916E04">
        <w:rPr>
          <w:rFonts w:cs="Arial"/>
          <w:i w:val="0"/>
          <w:sz w:val="20"/>
          <w:szCs w:val="20"/>
          <w:lang w:val="pt-BR"/>
        </w:rPr>
        <w:t xml:space="preserve"> e 50ug.L</w:t>
      </w:r>
      <w:r w:rsidR="00916E04" w:rsidRPr="00390312">
        <w:rPr>
          <w:rFonts w:cs="Arial"/>
          <w:i w:val="0"/>
          <w:sz w:val="20"/>
          <w:szCs w:val="20"/>
          <w:vertAlign w:val="superscript"/>
          <w:lang w:val="pt-BR"/>
        </w:rPr>
        <w:t>-1</w:t>
      </w:r>
      <w:r w:rsidR="00916E04">
        <w:rPr>
          <w:rFonts w:cs="Arial"/>
          <w:i w:val="0"/>
          <w:sz w:val="20"/>
          <w:szCs w:val="20"/>
          <w:lang w:val="pt-BR"/>
        </w:rPr>
        <w:t xml:space="preserve"> de MC-LR). Letras </w:t>
      </w:r>
      <w:r w:rsidR="00390312">
        <w:rPr>
          <w:rFonts w:cs="Arial"/>
          <w:i w:val="0"/>
          <w:sz w:val="20"/>
          <w:szCs w:val="20"/>
          <w:lang w:val="pt-BR"/>
        </w:rPr>
        <w:t>iguais representam ausência de diferença estatística (p&lt;0.05).</w:t>
      </w:r>
    </w:p>
    <w:p w14:paraId="525F2602" w14:textId="77777777" w:rsidR="00C13B99" w:rsidRDefault="00C13B99" w:rsidP="00C13B99">
      <w:pPr>
        <w:rPr>
          <w:sz w:val="20"/>
          <w:szCs w:val="20"/>
        </w:rPr>
      </w:pPr>
    </w:p>
    <w:p w14:paraId="2741F7B7" w14:textId="4E567798" w:rsidR="00C13B99" w:rsidRDefault="00F73246" w:rsidP="00F73246">
      <w:pPr>
        <w:ind w:firstLine="708"/>
      </w:pPr>
      <w:r>
        <w:t>Outro estudo constatou</w:t>
      </w:r>
      <w:r w:rsidR="003F7384">
        <w:t xml:space="preserve"> uma forte indução da </w:t>
      </w:r>
      <w:r w:rsidR="003F7384" w:rsidRPr="003F7384">
        <w:rPr>
          <w:i/>
        </w:rPr>
        <w:t>GST</w:t>
      </w:r>
      <w:r w:rsidR="003F7384">
        <w:t xml:space="preserve"> Kappa em fígado, entretanto, ainda não se conhece muito bem seus mecanismos regulatórios.</w:t>
      </w:r>
      <w:r>
        <w:t xml:space="preserve"> E ainda acredita-se que a diferença entre brânquia e fígado seria devido a diferença da concentração natural desta isoforma em casa órgão</w:t>
      </w:r>
      <w:r w:rsidR="003F7384">
        <w:t xml:space="preserve"> (</w:t>
      </w:r>
      <w:r w:rsidR="0074759D">
        <w:t>HAO et al., 2008</w:t>
      </w:r>
      <w:r w:rsidR="003F7384">
        <w:t>)</w:t>
      </w:r>
      <w:r>
        <w:t>.</w:t>
      </w:r>
    </w:p>
    <w:p w14:paraId="6636E712" w14:textId="63FE3594" w:rsidR="00991E84" w:rsidRDefault="00F51506" w:rsidP="00E471C3">
      <w:r>
        <w:t xml:space="preserve">Com relação a repressão da </w:t>
      </w:r>
      <w:r w:rsidRPr="00F51506">
        <w:rPr>
          <w:i/>
        </w:rPr>
        <w:t>GST</w:t>
      </w:r>
      <w:r>
        <w:t xml:space="preserve"> MIC 1</w:t>
      </w:r>
      <w:r w:rsidR="00991E84">
        <w:t xml:space="preserve"> alguns pesquisadores concluem que</w:t>
      </w:r>
    </w:p>
    <w:p w14:paraId="3EE8FF21" w14:textId="4FC6C623" w:rsidR="0082219D" w:rsidRDefault="00F73246" w:rsidP="00991E84">
      <w:pPr>
        <w:ind w:firstLine="0"/>
      </w:pPr>
      <w:r>
        <w:t>por se tratar de</w:t>
      </w:r>
      <w:r w:rsidR="00F51506">
        <w:t xml:space="preserve"> um gene benéfico ao organismo</w:t>
      </w:r>
      <w:r w:rsidR="00991E84">
        <w:t xml:space="preserve"> ele pode ser reprimido frente a um contaminante nocivo ao organismo</w:t>
      </w:r>
      <w:r w:rsidR="00F51506">
        <w:t>. Entretanto, ainda se faz necessário um estudo sobre os mecanismos regulatórios deste gene, a fim de explicar esta repressão apenas nas brâ</w:t>
      </w:r>
      <w:r>
        <w:t>nquias e não no fígado</w:t>
      </w:r>
      <w:r w:rsidR="00F51506">
        <w:t xml:space="preserve"> (GUIMARÂES, 2012)</w:t>
      </w:r>
      <w:r>
        <w:t>.</w:t>
      </w:r>
    </w:p>
    <w:p w14:paraId="15C4223A" w14:textId="2061C67E" w:rsidR="00107415" w:rsidRPr="0082219D" w:rsidRDefault="001A10FF" w:rsidP="0029083B">
      <w:pPr>
        <w:pStyle w:val="Ttulodaseoprimria"/>
        <w:rPr>
          <w:sz w:val="24"/>
        </w:rPr>
      </w:pPr>
      <w:r>
        <w:rPr>
          <w:sz w:val="24"/>
        </w:rPr>
        <w:t>5</w:t>
      </w:r>
      <w:r w:rsidR="0082219D" w:rsidRPr="0082219D">
        <w:rPr>
          <w:sz w:val="24"/>
        </w:rPr>
        <w:t xml:space="preserve"> CONSIDERAÇÕES FINAIS</w:t>
      </w:r>
    </w:p>
    <w:p w14:paraId="64B640E4" w14:textId="4BAF5C27" w:rsidR="009D0723" w:rsidRDefault="00AD524B" w:rsidP="00E471C3">
      <w:r>
        <w:t xml:space="preserve">Conclui-se então que as isoformas </w:t>
      </w:r>
      <w:r w:rsidRPr="00AD524B">
        <w:rPr>
          <w:i/>
        </w:rPr>
        <w:t>GST</w:t>
      </w:r>
      <w:r>
        <w:t xml:space="preserve"> MIC 3 e </w:t>
      </w:r>
      <w:r w:rsidRPr="00AD524B">
        <w:rPr>
          <w:i/>
        </w:rPr>
        <w:t>GST</w:t>
      </w:r>
      <w:r>
        <w:t xml:space="preserve"> Kappa em brânquia não sofrem a</w:t>
      </w:r>
      <w:r w:rsidR="00B25C64">
        <w:t>lteração frente a exposição de M</w:t>
      </w:r>
      <w:r>
        <w:t xml:space="preserve">icrocistina, assim como as isoformas </w:t>
      </w:r>
      <w:r w:rsidRPr="00AD524B">
        <w:rPr>
          <w:i/>
        </w:rPr>
        <w:t>GST</w:t>
      </w:r>
      <w:r>
        <w:t xml:space="preserve"> MIC 1 e </w:t>
      </w:r>
      <w:r w:rsidRPr="00FA38F7">
        <w:rPr>
          <w:i/>
        </w:rPr>
        <w:t>GST</w:t>
      </w:r>
      <w:r>
        <w:t xml:space="preserve"> MIC 3 em fígado. Entretanto, </w:t>
      </w:r>
      <w:r w:rsidR="00F73246">
        <w:t>serão necessários novos</w:t>
      </w:r>
      <w:r w:rsidR="00390312">
        <w:t xml:space="preserve"> estudos</w:t>
      </w:r>
      <w:r w:rsidR="00F3617F">
        <w:t xml:space="preserve"> a</w:t>
      </w:r>
      <w:r w:rsidR="00390312">
        <w:t xml:space="preserve"> </w:t>
      </w:r>
      <w:r w:rsidR="00FA38F7">
        <w:t xml:space="preserve">fim de explicar </w:t>
      </w:r>
      <w:r w:rsidR="00F3617F">
        <w:t xml:space="preserve">alguns resultados, como </w:t>
      </w:r>
      <w:r w:rsidR="00390312">
        <w:t>por exemplo a</w:t>
      </w:r>
      <w:r w:rsidR="00F3617F">
        <w:t xml:space="preserve"> forte indução da </w:t>
      </w:r>
      <w:r w:rsidR="00F3617F" w:rsidRPr="00FA38F7">
        <w:rPr>
          <w:i/>
        </w:rPr>
        <w:t>GST</w:t>
      </w:r>
      <w:r w:rsidR="00F3617F" w:rsidRPr="002E272E">
        <w:rPr>
          <w:i/>
        </w:rPr>
        <w:t xml:space="preserve"> Kappa</w:t>
      </w:r>
      <w:r w:rsidR="00F3617F">
        <w:t>.</w:t>
      </w:r>
    </w:p>
    <w:p w14:paraId="59869F20" w14:textId="2FEB3CCE" w:rsidR="009D0723" w:rsidRPr="00C03DCF" w:rsidRDefault="0082219D" w:rsidP="00C03DCF">
      <w:pPr>
        <w:pStyle w:val="Ttulodaseoprimria"/>
        <w:jc w:val="left"/>
      </w:pPr>
      <w:r w:rsidRPr="00D8090F">
        <w:t>REFERÊNCIAS</w:t>
      </w:r>
    </w:p>
    <w:p w14:paraId="1C936372" w14:textId="40946A80" w:rsidR="00484999" w:rsidRPr="00484999" w:rsidRDefault="00484999" w:rsidP="003C1769">
      <w:pPr>
        <w:ind w:firstLine="708"/>
        <w:rPr>
          <w:lang w:val="en-US"/>
        </w:rPr>
      </w:pPr>
      <w:r w:rsidRPr="008C1F91">
        <w:t>D</w:t>
      </w:r>
      <w:r w:rsidR="00616956">
        <w:t>I GIULIO, R.T., HINTON</w:t>
      </w:r>
      <w:r w:rsidR="00251F2B">
        <w:t>, D.E</w:t>
      </w:r>
      <w:r w:rsidRPr="008C1F91">
        <w:t xml:space="preserve">. </w:t>
      </w:r>
      <w:r w:rsidRPr="0095358A">
        <w:rPr>
          <w:b/>
          <w:lang w:val="en-US"/>
        </w:rPr>
        <w:t>The toxicology of fishes.</w:t>
      </w:r>
      <w:r w:rsidRPr="00C02A4D">
        <w:rPr>
          <w:lang w:val="en-US"/>
        </w:rPr>
        <w:t xml:space="preserve"> CRC Press</w:t>
      </w:r>
      <w:r w:rsidR="00AD524B">
        <w:rPr>
          <w:lang w:val="en-US"/>
        </w:rPr>
        <w:t>, Boca Raton, FL, USA.</w:t>
      </w:r>
      <w:r w:rsidR="00251F2B">
        <w:rPr>
          <w:lang w:val="en-US"/>
        </w:rPr>
        <w:t xml:space="preserve"> 2008.</w:t>
      </w:r>
    </w:p>
    <w:p w14:paraId="5D5AD791" w14:textId="4727BD21" w:rsidR="00484999" w:rsidRPr="003C1769" w:rsidRDefault="00C741A8" w:rsidP="003C1769">
      <w:pPr>
        <w:pStyle w:val="Leyendadefiguraotabla"/>
        <w:spacing w:before="0" w:after="0"/>
        <w:ind w:firstLine="708"/>
        <w:jc w:val="both"/>
        <w:rPr>
          <w:rFonts w:cs="Arial"/>
          <w:i w:val="0"/>
          <w:sz w:val="24"/>
          <w:lang w:val="pt-BR"/>
        </w:rPr>
      </w:pPr>
      <w:r w:rsidRPr="008C1F91">
        <w:rPr>
          <w:rFonts w:cs="Arial"/>
          <w:i w:val="0"/>
          <w:sz w:val="24"/>
          <w:lang w:val="en-US"/>
        </w:rPr>
        <w:t>H</w:t>
      </w:r>
      <w:r w:rsidR="00616956">
        <w:rPr>
          <w:rFonts w:cs="Arial"/>
          <w:i w:val="0"/>
          <w:sz w:val="24"/>
          <w:lang w:val="en-US"/>
        </w:rPr>
        <w:t>INTON, D.E., HARDMAN, R.C., KULLMAN</w:t>
      </w:r>
      <w:r w:rsidRPr="008C1F91">
        <w:rPr>
          <w:rFonts w:cs="Arial"/>
          <w:i w:val="0"/>
          <w:sz w:val="24"/>
          <w:lang w:val="en-US"/>
        </w:rPr>
        <w:t>,</w:t>
      </w:r>
      <w:r w:rsidR="00616956">
        <w:rPr>
          <w:rFonts w:cs="Arial"/>
          <w:i w:val="0"/>
          <w:sz w:val="24"/>
          <w:lang w:val="en-US"/>
        </w:rPr>
        <w:t xml:space="preserve"> S.W., Law, J.M., SCHMALE, M.C., WALTER, R.B., WINN, R.N., YODER</w:t>
      </w:r>
      <w:r w:rsidR="00514630">
        <w:rPr>
          <w:rFonts w:cs="Arial"/>
          <w:i w:val="0"/>
          <w:sz w:val="24"/>
          <w:lang w:val="en-US"/>
        </w:rPr>
        <w:t>, J.A.</w:t>
      </w:r>
      <w:r w:rsidRPr="0095358A">
        <w:rPr>
          <w:rFonts w:cs="Arial"/>
          <w:b/>
          <w:i w:val="0"/>
          <w:sz w:val="24"/>
          <w:lang w:val="en-US"/>
        </w:rPr>
        <w:t xml:space="preserve"> Aquatic animal models of human disease: Selected papers and recommendations from the 4th Conference. </w:t>
      </w:r>
      <w:r w:rsidRPr="0095358A">
        <w:rPr>
          <w:rFonts w:cs="Arial"/>
          <w:b/>
          <w:i w:val="0"/>
          <w:sz w:val="24"/>
          <w:lang w:val="pt-BR"/>
        </w:rPr>
        <w:t>Comparative Biochemistry and Physiology C-Toxicology &amp; Pharmacology</w:t>
      </w:r>
      <w:r w:rsidR="00514630">
        <w:rPr>
          <w:rFonts w:cs="Arial"/>
          <w:b/>
          <w:i w:val="0"/>
          <w:sz w:val="24"/>
          <w:lang w:val="pt-BR"/>
        </w:rPr>
        <w:t>.</w:t>
      </w:r>
      <w:r w:rsidR="00514630">
        <w:rPr>
          <w:rFonts w:cs="Arial"/>
          <w:i w:val="0"/>
          <w:sz w:val="24"/>
          <w:lang w:val="pt-BR"/>
        </w:rPr>
        <w:t xml:space="preserve"> V.149, p. 121-128, 2009.</w:t>
      </w:r>
    </w:p>
    <w:p w14:paraId="010CB6A3" w14:textId="54860100" w:rsidR="00842F12" w:rsidRPr="003C1769" w:rsidRDefault="00616956" w:rsidP="003C1769">
      <w:pPr>
        <w:ind w:firstLine="708"/>
      </w:pPr>
      <w:r>
        <w:rPr>
          <w:rFonts w:eastAsia="Calibri" w:cs="Arial"/>
          <w:kern w:val="0"/>
          <w:lang w:val="en-US"/>
        </w:rPr>
        <w:t>NICHOLS, J. W., SCHULTZ</w:t>
      </w:r>
      <w:r w:rsidR="00842F12" w:rsidRPr="00842F12">
        <w:rPr>
          <w:rFonts w:eastAsia="Calibri" w:cs="Arial"/>
          <w:kern w:val="0"/>
          <w:lang w:val="en-US"/>
        </w:rPr>
        <w:t>, I.</w:t>
      </w:r>
      <w:r w:rsidR="00514630">
        <w:rPr>
          <w:rFonts w:eastAsia="Calibri" w:cs="Arial"/>
          <w:kern w:val="0"/>
          <w:lang w:val="en-US"/>
        </w:rPr>
        <w:t xml:space="preserve"> R. and Fitzsimmons, P. N.</w:t>
      </w:r>
      <w:r w:rsidR="00842F12" w:rsidRPr="00842F12">
        <w:rPr>
          <w:rFonts w:eastAsia="Calibri" w:cs="Arial"/>
          <w:kern w:val="0"/>
          <w:lang w:val="en-US"/>
        </w:rPr>
        <w:t xml:space="preserve"> </w:t>
      </w:r>
      <w:r w:rsidR="00842F12" w:rsidRPr="0095358A">
        <w:rPr>
          <w:rFonts w:eastAsia="Calibri" w:cs="Arial"/>
          <w:b/>
          <w:kern w:val="0"/>
          <w:lang w:val="en-US"/>
        </w:rPr>
        <w:t>In vitro-in vivo extrapolation of quantitative hepatic biotransformation data for fish. I. A review of methods, and strategies for incorporating intrinsic clearance estimates into chemical kinetic models.</w:t>
      </w:r>
      <w:r w:rsidR="00842F12" w:rsidRPr="00842F12">
        <w:rPr>
          <w:rFonts w:eastAsia="Calibri" w:cs="Arial"/>
          <w:kern w:val="0"/>
          <w:lang w:val="en-US"/>
        </w:rPr>
        <w:t xml:space="preserve"> </w:t>
      </w:r>
      <w:r w:rsidR="00842F12">
        <w:rPr>
          <w:rFonts w:eastAsia="Calibri" w:cs="Arial"/>
          <w:i/>
          <w:iCs/>
          <w:kern w:val="0"/>
        </w:rPr>
        <w:t xml:space="preserve">Aquatic toxicology </w:t>
      </w:r>
      <w:r w:rsidR="00514630">
        <w:rPr>
          <w:rFonts w:eastAsia="Calibri" w:cs="Arial"/>
          <w:i/>
          <w:iCs/>
          <w:kern w:val="0"/>
        </w:rPr>
        <w:t>v.</w:t>
      </w:r>
      <w:r w:rsidR="00514630">
        <w:rPr>
          <w:rFonts w:eastAsia="Calibri" w:cs="Arial"/>
          <w:kern w:val="0"/>
        </w:rPr>
        <w:t>78, p. 74-90, 2006.</w:t>
      </w:r>
    </w:p>
    <w:p w14:paraId="5FC74056" w14:textId="1121B0BD" w:rsidR="000D1EB9" w:rsidRPr="008C1F91" w:rsidRDefault="000D1EB9" w:rsidP="000D1EB9">
      <w:pPr>
        <w:ind w:firstLine="708"/>
      </w:pPr>
      <w:r w:rsidRPr="008C1F91">
        <w:t>S</w:t>
      </w:r>
      <w:r w:rsidR="00616956">
        <w:t>UZUKI, T., TAKAGI, Y., OSANAI, H., Li, L., TAKEUCHI, M., KATOH</w:t>
      </w:r>
      <w:r w:rsidRPr="008C1F91">
        <w:t xml:space="preserve">, Y., </w:t>
      </w:r>
      <w:r w:rsidR="00616956">
        <w:t>KOBAYASHI</w:t>
      </w:r>
      <w:r w:rsidRPr="008C1F91">
        <w:t>, M., Y</w:t>
      </w:r>
      <w:r w:rsidR="00616956">
        <w:t>AMAMOTO</w:t>
      </w:r>
      <w:r w:rsidR="0095358A">
        <w:t xml:space="preserve">, M. </w:t>
      </w:r>
      <w:r w:rsidR="0095358A">
        <w:rPr>
          <w:b/>
        </w:rPr>
        <w:t>Pi class glutathione S-transferase genes are regulated by Nrf2 through na evolutionarily conserved regulatory elemento in zebrafish.</w:t>
      </w:r>
      <w:r w:rsidRPr="008C1F91">
        <w:t xml:space="preserve"> The Biochemical journal </w:t>
      </w:r>
      <w:r w:rsidR="00514630">
        <w:t>v.388,</w:t>
      </w:r>
      <w:r w:rsidRPr="008C1F91">
        <w:t xml:space="preserve"> </w:t>
      </w:r>
      <w:r w:rsidR="00514630">
        <w:t>p. 65-73, 2005.</w:t>
      </w:r>
    </w:p>
    <w:p w14:paraId="59CDFBA2" w14:textId="5F2E40A5" w:rsidR="0011620D" w:rsidRDefault="00AB69E7" w:rsidP="0011620D">
      <w:pPr>
        <w:ind w:firstLine="708"/>
      </w:pPr>
      <w:r w:rsidRPr="00616956">
        <w:t>GUIMARÃES</w:t>
      </w:r>
      <w:r w:rsidRPr="008C1F91">
        <w:t>, F.</w:t>
      </w:r>
      <w:r w:rsidR="00FA38F7">
        <w:t xml:space="preserve"> </w:t>
      </w:r>
      <w:r w:rsidRPr="008C1F91">
        <w:t xml:space="preserve">S. </w:t>
      </w:r>
      <w:r w:rsidRPr="00C91AFD">
        <w:rPr>
          <w:b/>
        </w:rPr>
        <w:t>Avaliação Transcricional de Genes Glutationa S-Transferases Microssomais em Peixe-Zebra (</w:t>
      </w:r>
      <w:r w:rsidRPr="00C91AFD">
        <w:rPr>
          <w:b/>
          <w:i/>
        </w:rPr>
        <w:t>Danio Rerio</w:t>
      </w:r>
      <w:r w:rsidRPr="00C91AFD">
        <w:rPr>
          <w:b/>
        </w:rPr>
        <w:t>) Expostos à Microci</w:t>
      </w:r>
      <w:r w:rsidR="00C91AFD">
        <w:rPr>
          <w:b/>
        </w:rPr>
        <w:t>stina.</w:t>
      </w:r>
      <w:r w:rsidR="00C91AFD">
        <w:t xml:space="preserve"> Rio Grande: FURG,</w:t>
      </w:r>
      <w:r w:rsidRPr="008C1F91">
        <w:t xml:space="preserve"> 2012.</w:t>
      </w:r>
    </w:p>
    <w:p w14:paraId="37DAB7EF" w14:textId="6186898A" w:rsidR="00DC3990" w:rsidRDefault="00365485" w:rsidP="0011620D">
      <w:pPr>
        <w:ind w:firstLine="708"/>
      </w:pPr>
      <w:r w:rsidRPr="00E471C3">
        <w:rPr>
          <w:rFonts w:cs="Arial"/>
          <w:kern w:val="0"/>
        </w:rPr>
        <w:t>H</w:t>
      </w:r>
      <w:r w:rsidR="00616956">
        <w:rPr>
          <w:rFonts w:cs="Arial"/>
          <w:kern w:val="0"/>
        </w:rPr>
        <w:t>AO</w:t>
      </w:r>
      <w:r w:rsidR="00AD524B">
        <w:rPr>
          <w:rFonts w:cs="Arial"/>
          <w:kern w:val="0"/>
        </w:rPr>
        <w:t xml:space="preserve"> L.</w:t>
      </w:r>
      <w:r w:rsidRPr="00E471C3">
        <w:rPr>
          <w:rFonts w:cs="Arial"/>
          <w:kern w:val="0"/>
        </w:rPr>
        <w:t xml:space="preserve">, </w:t>
      </w:r>
      <w:r w:rsidR="00616956">
        <w:rPr>
          <w:rFonts w:cs="Arial"/>
          <w:kern w:val="0"/>
        </w:rPr>
        <w:t xml:space="preserve">et al. </w:t>
      </w:r>
      <w:r w:rsidRPr="0095358A">
        <w:rPr>
          <w:rFonts w:cs="Arial"/>
          <w:b/>
          <w:bCs/>
          <w:kern w:val="0"/>
        </w:rPr>
        <w:t>The effect of cyanobacterial crude extract on the transcription of GST mu, GST kappa and GST rho in different organs of goldfish (</w:t>
      </w:r>
      <w:r w:rsidRPr="0095358A">
        <w:rPr>
          <w:rFonts w:cs="Arial"/>
          <w:b/>
          <w:bCs/>
          <w:i/>
          <w:iCs/>
          <w:kern w:val="0"/>
          <w:bdr w:val="none" w:sz="0" w:space="0" w:color="auto" w:frame="1"/>
        </w:rPr>
        <w:t>Carassius auratus</w:t>
      </w:r>
      <w:r w:rsidRPr="0095358A">
        <w:rPr>
          <w:rFonts w:cs="Arial"/>
          <w:b/>
          <w:bCs/>
          <w:kern w:val="0"/>
        </w:rPr>
        <w:t>)</w:t>
      </w:r>
      <w:r w:rsidRPr="00E471C3">
        <w:rPr>
          <w:rFonts w:cs="Arial"/>
          <w:b/>
          <w:bCs/>
          <w:kern w:val="0"/>
        </w:rPr>
        <w:t xml:space="preserve"> </w:t>
      </w:r>
      <w:r w:rsidR="00616956">
        <w:rPr>
          <w:rFonts w:cs="Arial"/>
          <w:kern w:val="0"/>
        </w:rPr>
        <w:t>Aquat. Toxicol.</w:t>
      </w:r>
      <w:r w:rsidRPr="00E471C3">
        <w:rPr>
          <w:rFonts w:cs="Arial"/>
          <w:kern w:val="0"/>
        </w:rPr>
        <w:t xml:space="preserve"> </w:t>
      </w:r>
      <w:r w:rsidR="00514630">
        <w:rPr>
          <w:rFonts w:cs="Arial"/>
          <w:kern w:val="0"/>
        </w:rPr>
        <w:t xml:space="preserve"> v.90</w:t>
      </w:r>
      <w:r w:rsidRPr="00E471C3">
        <w:rPr>
          <w:rFonts w:cs="Arial"/>
          <w:kern w:val="0"/>
        </w:rPr>
        <w:t>, p. 1–7</w:t>
      </w:r>
      <w:r w:rsidR="00514630">
        <w:rPr>
          <w:rFonts w:cs="Arial"/>
          <w:kern w:val="0"/>
        </w:rPr>
        <w:t>, 2008</w:t>
      </w:r>
    </w:p>
    <w:sectPr w:rsidR="00DC3990" w:rsidSect="0082219D"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710EC" w14:textId="77777777" w:rsidR="00460111" w:rsidRDefault="00460111" w:rsidP="00B11590">
      <w:r>
        <w:separator/>
      </w:r>
    </w:p>
  </w:endnote>
  <w:endnote w:type="continuationSeparator" w:id="0">
    <w:p w14:paraId="078FE16F" w14:textId="77777777" w:rsidR="00460111" w:rsidRDefault="00460111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AB821" w14:textId="77777777" w:rsidR="00460111" w:rsidRDefault="00460111" w:rsidP="00B11590">
      <w:r>
        <w:separator/>
      </w:r>
    </w:p>
  </w:footnote>
  <w:footnote w:type="continuationSeparator" w:id="0">
    <w:p w14:paraId="1F91E9B0" w14:textId="77777777" w:rsidR="00460111" w:rsidRDefault="00460111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2AA22" w14:textId="77777777"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14:paraId="1695CC05" w14:textId="77777777"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14:paraId="0BC0A46D" w14:textId="77777777"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14:paraId="78709D72" w14:textId="77777777"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378"/>
    <w:multiLevelType w:val="multilevel"/>
    <w:tmpl w:val="4128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723"/>
    <w:rsid w:val="000033F3"/>
    <w:rsid w:val="00031BCF"/>
    <w:rsid w:val="000D1EB9"/>
    <w:rsid w:val="000F630E"/>
    <w:rsid w:val="000F64B4"/>
    <w:rsid w:val="00107415"/>
    <w:rsid w:val="0011620D"/>
    <w:rsid w:val="0012354B"/>
    <w:rsid w:val="00125006"/>
    <w:rsid w:val="00140EFB"/>
    <w:rsid w:val="00185FE1"/>
    <w:rsid w:val="001A10FF"/>
    <w:rsid w:val="001A4EC1"/>
    <w:rsid w:val="001B4287"/>
    <w:rsid w:val="001C7B8C"/>
    <w:rsid w:val="001C7EAD"/>
    <w:rsid w:val="001E496B"/>
    <w:rsid w:val="001F38A3"/>
    <w:rsid w:val="00203D0A"/>
    <w:rsid w:val="002150A1"/>
    <w:rsid w:val="0024774D"/>
    <w:rsid w:val="00251F2B"/>
    <w:rsid w:val="00260AED"/>
    <w:rsid w:val="0029083B"/>
    <w:rsid w:val="002A6235"/>
    <w:rsid w:val="002A6CB8"/>
    <w:rsid w:val="002A7A57"/>
    <w:rsid w:val="002B6D50"/>
    <w:rsid w:val="002E272E"/>
    <w:rsid w:val="00302E87"/>
    <w:rsid w:val="00320A99"/>
    <w:rsid w:val="003220E0"/>
    <w:rsid w:val="00365485"/>
    <w:rsid w:val="003844C0"/>
    <w:rsid w:val="00390312"/>
    <w:rsid w:val="003C0392"/>
    <w:rsid w:val="003C1769"/>
    <w:rsid w:val="003F7384"/>
    <w:rsid w:val="003F7A6A"/>
    <w:rsid w:val="0041326D"/>
    <w:rsid w:val="00427236"/>
    <w:rsid w:val="00450C0F"/>
    <w:rsid w:val="00460111"/>
    <w:rsid w:val="004779E0"/>
    <w:rsid w:val="00484999"/>
    <w:rsid w:val="00493589"/>
    <w:rsid w:val="004A3114"/>
    <w:rsid w:val="004F7A69"/>
    <w:rsid w:val="00514630"/>
    <w:rsid w:val="00520FB9"/>
    <w:rsid w:val="0059345E"/>
    <w:rsid w:val="005938C5"/>
    <w:rsid w:val="005B13E5"/>
    <w:rsid w:val="005E03DE"/>
    <w:rsid w:val="005E646E"/>
    <w:rsid w:val="006016C6"/>
    <w:rsid w:val="006135F7"/>
    <w:rsid w:val="00616956"/>
    <w:rsid w:val="00692173"/>
    <w:rsid w:val="006A4184"/>
    <w:rsid w:val="006B49E3"/>
    <w:rsid w:val="006C6611"/>
    <w:rsid w:val="006F13D5"/>
    <w:rsid w:val="006F1A5E"/>
    <w:rsid w:val="006F1C8C"/>
    <w:rsid w:val="0070021A"/>
    <w:rsid w:val="00711AA3"/>
    <w:rsid w:val="00724A7E"/>
    <w:rsid w:val="00726BAF"/>
    <w:rsid w:val="00731B6A"/>
    <w:rsid w:val="00737615"/>
    <w:rsid w:val="00744673"/>
    <w:rsid w:val="0074759D"/>
    <w:rsid w:val="007C1CFC"/>
    <w:rsid w:val="007C2D07"/>
    <w:rsid w:val="00805719"/>
    <w:rsid w:val="008154CF"/>
    <w:rsid w:val="0082219D"/>
    <w:rsid w:val="00837DD1"/>
    <w:rsid w:val="00842F12"/>
    <w:rsid w:val="008C1F91"/>
    <w:rsid w:val="008D4DCB"/>
    <w:rsid w:val="00916E04"/>
    <w:rsid w:val="00941544"/>
    <w:rsid w:val="0095358A"/>
    <w:rsid w:val="00991E84"/>
    <w:rsid w:val="009B0959"/>
    <w:rsid w:val="009D0723"/>
    <w:rsid w:val="009D717C"/>
    <w:rsid w:val="009F1118"/>
    <w:rsid w:val="00A244AF"/>
    <w:rsid w:val="00A379B1"/>
    <w:rsid w:val="00A56E01"/>
    <w:rsid w:val="00A756D1"/>
    <w:rsid w:val="00A771C1"/>
    <w:rsid w:val="00A802B0"/>
    <w:rsid w:val="00A85F3B"/>
    <w:rsid w:val="00AB4FC1"/>
    <w:rsid w:val="00AB69E7"/>
    <w:rsid w:val="00AD09CB"/>
    <w:rsid w:val="00AD524B"/>
    <w:rsid w:val="00B11590"/>
    <w:rsid w:val="00B25C64"/>
    <w:rsid w:val="00B744AA"/>
    <w:rsid w:val="00BB3C82"/>
    <w:rsid w:val="00BE7921"/>
    <w:rsid w:val="00C03DCF"/>
    <w:rsid w:val="00C13B99"/>
    <w:rsid w:val="00C16DD6"/>
    <w:rsid w:val="00C26FA8"/>
    <w:rsid w:val="00C341B4"/>
    <w:rsid w:val="00C47B84"/>
    <w:rsid w:val="00C63700"/>
    <w:rsid w:val="00C67F52"/>
    <w:rsid w:val="00C741A8"/>
    <w:rsid w:val="00C812DC"/>
    <w:rsid w:val="00C91AFD"/>
    <w:rsid w:val="00C950B7"/>
    <w:rsid w:val="00C95C91"/>
    <w:rsid w:val="00C9686C"/>
    <w:rsid w:val="00CC3E16"/>
    <w:rsid w:val="00CE79D0"/>
    <w:rsid w:val="00CF1B19"/>
    <w:rsid w:val="00CF687C"/>
    <w:rsid w:val="00D141AD"/>
    <w:rsid w:val="00D16F3A"/>
    <w:rsid w:val="00D25A87"/>
    <w:rsid w:val="00D27B73"/>
    <w:rsid w:val="00D43862"/>
    <w:rsid w:val="00D53270"/>
    <w:rsid w:val="00D7108D"/>
    <w:rsid w:val="00D71AAE"/>
    <w:rsid w:val="00D740C6"/>
    <w:rsid w:val="00D753F3"/>
    <w:rsid w:val="00D81B7D"/>
    <w:rsid w:val="00DC3990"/>
    <w:rsid w:val="00DC68DA"/>
    <w:rsid w:val="00DD1B99"/>
    <w:rsid w:val="00DE2303"/>
    <w:rsid w:val="00DE5D3E"/>
    <w:rsid w:val="00DE6963"/>
    <w:rsid w:val="00E10B97"/>
    <w:rsid w:val="00E471C3"/>
    <w:rsid w:val="00EA51E0"/>
    <w:rsid w:val="00EB13F7"/>
    <w:rsid w:val="00EB219E"/>
    <w:rsid w:val="00F32619"/>
    <w:rsid w:val="00F34C67"/>
    <w:rsid w:val="00F3617F"/>
    <w:rsid w:val="00F3670C"/>
    <w:rsid w:val="00F51506"/>
    <w:rsid w:val="00F56270"/>
    <w:rsid w:val="00F62EAB"/>
    <w:rsid w:val="00F65AE9"/>
    <w:rsid w:val="00F73246"/>
    <w:rsid w:val="00F951A7"/>
    <w:rsid w:val="00FA38F7"/>
    <w:rsid w:val="00FB279D"/>
    <w:rsid w:val="00FB3E05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1CEF2"/>
  <w15:docId w15:val="{597E5720-D6BB-4B2F-8776-44774A4D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37DD1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character" w:styleId="Refdecomentrio">
    <w:name w:val="annotation reference"/>
    <w:basedOn w:val="Fontepargpadro"/>
    <w:uiPriority w:val="99"/>
    <w:semiHidden/>
    <w:unhideWhenUsed/>
    <w:rsid w:val="008C1F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F9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F91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F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F91"/>
    <w:rPr>
      <w:rFonts w:ascii="Arial" w:eastAsia="Arial Unicode MS" w:hAnsi="Arial"/>
      <w:b/>
      <w:bCs/>
      <w:kern w:val="1"/>
    </w:rPr>
  </w:style>
  <w:style w:type="character" w:styleId="nfase">
    <w:name w:val="Emphasis"/>
    <w:basedOn w:val="Fontepargpadro"/>
    <w:uiPriority w:val="20"/>
    <w:qFormat/>
    <w:rsid w:val="00365485"/>
    <w:rPr>
      <w:i/>
      <w:iCs/>
    </w:rPr>
  </w:style>
  <w:style w:type="paragraph" w:styleId="Reviso">
    <w:name w:val="Revision"/>
    <w:hidden/>
    <w:uiPriority w:val="99"/>
    <w:semiHidden/>
    <w:rsid w:val="00320A99"/>
    <w:rPr>
      <w:rFonts w:ascii="Arial" w:eastAsia="Arial Unicode MS" w:hAnsi="Arial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F76A-C4B5-4299-9E0F-4EE399EF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867</Words>
  <Characters>4685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Batata</cp:lastModifiedBy>
  <cp:revision>13</cp:revision>
  <cp:lastPrinted>2013-05-31T18:34:00Z</cp:lastPrinted>
  <dcterms:created xsi:type="dcterms:W3CDTF">2014-07-14T17:34:00Z</dcterms:created>
  <dcterms:modified xsi:type="dcterms:W3CDTF">2014-07-27T14:12:00Z</dcterms:modified>
</cp:coreProperties>
</file>