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97" w:rsidRDefault="00FA4295">
      <w:pPr>
        <w:pStyle w:val="Ttulododocumento"/>
        <w:spacing w:line="100" w:lineRule="atLeast"/>
      </w:pPr>
      <w:r>
        <w:t>Transgênicos à Luz do Código de Defesa do Consumidor</w:t>
      </w:r>
    </w:p>
    <w:p w:rsidR="00890597" w:rsidRDefault="00890597">
      <w:pPr>
        <w:ind w:firstLine="0"/>
        <w:jc w:val="right"/>
        <w:rPr>
          <w:b/>
        </w:rPr>
      </w:pPr>
    </w:p>
    <w:p w:rsidR="00890597" w:rsidRDefault="00FA4295">
      <w:pPr>
        <w:ind w:firstLine="0"/>
        <w:jc w:val="right"/>
        <w:rPr>
          <w:rStyle w:val="ncoradanotaderodap"/>
          <w:b/>
        </w:rPr>
      </w:pPr>
      <w:r>
        <w:rPr>
          <w:rFonts w:eastAsia="Arial"/>
          <w:b/>
        </w:rPr>
        <w:t xml:space="preserve"> NUNES</w:t>
      </w:r>
      <w:r>
        <w:rPr>
          <w:b/>
        </w:rPr>
        <w:t xml:space="preserve">, Andréia </w:t>
      </w:r>
      <w:proofErr w:type="spellStart"/>
      <w:r>
        <w:rPr>
          <w:b/>
        </w:rPr>
        <w:t>Le</w:t>
      </w:r>
      <w:r w:rsidR="002C5B8D">
        <w:rPr>
          <w:b/>
        </w:rPr>
        <w:t>s</w:t>
      </w:r>
      <w:r>
        <w:rPr>
          <w:b/>
        </w:rPr>
        <w:t>xistão</w:t>
      </w:r>
      <w:proofErr w:type="spellEnd"/>
      <w:r>
        <w:rPr>
          <w:b/>
        </w:rPr>
        <w:t>;</w:t>
      </w:r>
      <w:proofErr w:type="gramStart"/>
      <w:r>
        <w:rPr>
          <w:rStyle w:val="ncoradanotaderodap"/>
          <w:b/>
        </w:rPr>
        <w:footnoteReference w:id="1"/>
      </w:r>
      <w:proofErr w:type="gramEnd"/>
    </w:p>
    <w:p w:rsidR="00890597" w:rsidRDefault="00FA4295">
      <w:pPr>
        <w:ind w:firstLine="0"/>
        <w:jc w:val="right"/>
        <w:rPr>
          <w:rStyle w:val="ncoradanotaderodap"/>
          <w:b/>
        </w:rPr>
      </w:pPr>
      <w:r>
        <w:rPr>
          <w:b/>
        </w:rPr>
        <w:t>SOARES, Rodrigo da Silva;</w:t>
      </w:r>
      <w:proofErr w:type="gramStart"/>
      <w:r>
        <w:rPr>
          <w:rStyle w:val="ncoradanotaderodap"/>
          <w:b/>
        </w:rPr>
        <w:footnoteReference w:id="2"/>
      </w:r>
      <w:proofErr w:type="gramEnd"/>
    </w:p>
    <w:p w:rsidR="00890597" w:rsidRDefault="00FA4295">
      <w:pPr>
        <w:ind w:firstLine="0"/>
        <w:jc w:val="right"/>
        <w:rPr>
          <w:rStyle w:val="ncoradanotaderodap"/>
          <w:b/>
          <w:lang w:val="en-US"/>
        </w:rPr>
      </w:pPr>
      <w:r w:rsidRPr="002C5B8D">
        <w:rPr>
          <w:b/>
          <w:lang w:val="en-US"/>
        </w:rPr>
        <w:t xml:space="preserve">LOBATO, Anderson Orestes </w:t>
      </w:r>
      <w:proofErr w:type="spellStart"/>
      <w:r w:rsidRPr="002C5B8D">
        <w:rPr>
          <w:b/>
          <w:lang w:val="en-US"/>
        </w:rPr>
        <w:t>Cavalcante</w:t>
      </w:r>
      <w:proofErr w:type="spellEnd"/>
      <w:r>
        <w:rPr>
          <w:rStyle w:val="ncoradanotaderodap"/>
          <w:b/>
          <w:lang w:val="en-US"/>
        </w:rPr>
        <w:footnoteReference w:id="3"/>
      </w:r>
    </w:p>
    <w:p w:rsidR="00890597" w:rsidRDefault="00FA4295">
      <w:pPr>
        <w:ind w:firstLine="0"/>
        <w:jc w:val="right"/>
        <w:rPr>
          <w:b/>
          <w:lang w:val="en-US"/>
        </w:rPr>
      </w:pPr>
      <w:r w:rsidRPr="002C5B8D">
        <w:rPr>
          <w:b/>
          <w:lang w:val="en-US"/>
        </w:rPr>
        <w:t>andr</w:t>
      </w:r>
      <w:r>
        <w:rPr>
          <w:b/>
          <w:lang w:val="en-US"/>
        </w:rPr>
        <w:t>eialesxistao@hotmail.com</w:t>
      </w:r>
      <w:r>
        <w:rPr>
          <w:b/>
          <w:lang w:val="en-US"/>
        </w:rPr>
        <w:t xml:space="preserve"> </w:t>
      </w:r>
    </w:p>
    <w:p w:rsidR="00890597" w:rsidRDefault="00FA4295">
      <w:pPr>
        <w:ind w:firstLine="0"/>
        <w:jc w:val="right"/>
        <w:rPr>
          <w:rStyle w:val="nfaseforte"/>
        </w:rPr>
      </w:pPr>
      <w:r>
        <w:rPr>
          <w:b/>
        </w:rPr>
        <w:t xml:space="preserve">Evento: </w:t>
      </w:r>
      <w:r>
        <w:rPr>
          <w:rStyle w:val="nfaseforte"/>
        </w:rPr>
        <w:t>Congresso de Iniciação Científica</w:t>
      </w:r>
    </w:p>
    <w:p w:rsidR="00890597" w:rsidRDefault="00FA4295">
      <w:pPr>
        <w:ind w:firstLine="0"/>
        <w:jc w:val="right"/>
        <w:rPr>
          <w:b/>
        </w:rPr>
      </w:pPr>
      <w:r>
        <w:rPr>
          <w:b/>
        </w:rPr>
        <w:t>Área do conhecimento: Ciências Sociais</w:t>
      </w:r>
      <w:r>
        <w:rPr>
          <w:b/>
        </w:rPr>
        <w:t xml:space="preserve"> Aplicadas</w:t>
      </w:r>
    </w:p>
    <w:p w:rsidR="00890597" w:rsidRDefault="00890597">
      <w:pPr>
        <w:ind w:firstLine="0"/>
        <w:jc w:val="center"/>
        <w:rPr>
          <w:b/>
        </w:rPr>
      </w:pPr>
    </w:p>
    <w:p w:rsidR="00890597" w:rsidRDefault="00FA4295">
      <w:pPr>
        <w:ind w:firstLine="0"/>
      </w:pPr>
      <w:r>
        <w:rPr>
          <w:b/>
        </w:rPr>
        <w:t xml:space="preserve">Palavras-chave: </w:t>
      </w:r>
      <w:r>
        <w:t xml:space="preserve">Direito, Defesa do Consumidor, </w:t>
      </w:r>
      <w:proofErr w:type="gramStart"/>
      <w:r>
        <w:t>Transgênicos</w:t>
      </w:r>
      <w:proofErr w:type="gramEnd"/>
    </w:p>
    <w:p w:rsidR="00890597" w:rsidRDefault="00890597">
      <w:pPr>
        <w:ind w:firstLine="0"/>
      </w:pPr>
    </w:p>
    <w:p w:rsidR="00890597" w:rsidRDefault="00FA4295">
      <w:pPr>
        <w:pStyle w:val="Ttulodaseoprimria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INTRODUÇÃO</w:t>
      </w:r>
    </w:p>
    <w:p w:rsidR="00890597" w:rsidRDefault="00FA4295">
      <w:pPr>
        <w:pStyle w:val="Ttulodaseoprimria"/>
        <w:rPr>
          <w:b w:val="0"/>
          <w:sz w:val="24"/>
        </w:rPr>
      </w:pPr>
      <w:r>
        <w:rPr>
          <w:sz w:val="24"/>
        </w:rPr>
        <w:tab/>
      </w:r>
      <w:r>
        <w:rPr>
          <w:b w:val="0"/>
          <w:sz w:val="24"/>
        </w:rPr>
        <w:t xml:space="preserve">O presente trabalho acadêmico </w:t>
      </w:r>
      <w:r>
        <w:rPr>
          <w:b w:val="0"/>
          <w:sz w:val="24"/>
        </w:rPr>
        <w:t>tem como objetivo debater a relação entre as legislações relativas aos transgênicos, bem como fazer uma breve associação de sua regulamenta</w:t>
      </w:r>
      <w:r>
        <w:rPr>
          <w:b w:val="0"/>
          <w:sz w:val="24"/>
        </w:rPr>
        <w:t>ção em relação ao direito à informação, um dos princípios basilares do Direito do Consumidor no que tange à produção, comercialização e consumo dos organismos geneticamente modificados.</w:t>
      </w:r>
    </w:p>
    <w:p w:rsidR="00890597" w:rsidRDefault="00890597"/>
    <w:p w:rsidR="00890597" w:rsidRDefault="00FA4295">
      <w:pPr>
        <w:ind w:firstLine="0"/>
        <w:jc w:val="left"/>
        <w:rPr>
          <w:b/>
        </w:rPr>
      </w:pPr>
      <w:proofErr w:type="gramStart"/>
      <w:r>
        <w:rPr>
          <w:b/>
        </w:rPr>
        <w:t>2</w:t>
      </w:r>
      <w:proofErr w:type="gramEnd"/>
      <w:r>
        <w:rPr>
          <w:b/>
        </w:rPr>
        <w:t xml:space="preserve"> REFERENCIAL TEÓRICO</w:t>
      </w:r>
    </w:p>
    <w:p w:rsidR="00890597" w:rsidRDefault="00FA4295">
      <w:r>
        <w:t>C</w:t>
      </w:r>
      <w:r>
        <w:t xml:space="preserve">omo referencial, as publicações dos professores </w:t>
      </w:r>
      <w:r>
        <w:t xml:space="preserve">Adriana Carvalho Pinto Vieira e Pedro Abel Vieira Junior, </w:t>
      </w:r>
      <w:r>
        <w:t xml:space="preserve">que são o norte no desenvolvimento do trabalho, </w:t>
      </w:r>
      <w:r>
        <w:lastRenderedPageBreak/>
        <w:t xml:space="preserve">devido </w:t>
      </w:r>
      <w:proofErr w:type="gramStart"/>
      <w:r>
        <w:t>a</w:t>
      </w:r>
      <w:proofErr w:type="gramEnd"/>
      <w:r>
        <w:t xml:space="preserve"> clareza e objetivismo em suas publicações sobre o referido tema.</w:t>
      </w:r>
    </w:p>
    <w:p w:rsidR="00890597" w:rsidRDefault="00890597">
      <w:pPr>
        <w:ind w:firstLine="0"/>
      </w:pPr>
    </w:p>
    <w:p w:rsidR="00890597" w:rsidRDefault="00FA4295">
      <w:pPr>
        <w:pStyle w:val="Ttulodaseoprimria"/>
        <w:rPr>
          <w:sz w:val="24"/>
        </w:rPr>
      </w:pPr>
      <w:proofErr w:type="gramStart"/>
      <w:r>
        <w:rPr>
          <w:sz w:val="24"/>
        </w:rPr>
        <w:t>3</w:t>
      </w:r>
      <w:proofErr w:type="gramEnd"/>
      <w:r>
        <w:rPr>
          <w:sz w:val="24"/>
        </w:rPr>
        <w:t xml:space="preserve"> MATERIAIS E MÉTODOS (ou P</w:t>
      </w:r>
      <w:r>
        <w:rPr>
          <w:sz w:val="24"/>
        </w:rPr>
        <w:t>ROCEDIMENTO METODOLÓGICO)</w:t>
      </w:r>
    </w:p>
    <w:p w:rsidR="00890597" w:rsidRDefault="00FA4295">
      <w:r>
        <w:t>No desenvolvimento da pesquisa empregou-se a pesquisa bibliográfica dos renomados autores, em especial os anteriormente citados.</w:t>
      </w:r>
    </w:p>
    <w:p w:rsidR="00890597" w:rsidRDefault="00890597">
      <w:pPr>
        <w:rPr>
          <w:shd w:val="clear" w:color="auto" w:fill="FFFFFF"/>
        </w:rPr>
      </w:pPr>
    </w:p>
    <w:p w:rsidR="00890597" w:rsidRDefault="00FA4295">
      <w:pPr>
        <w:pStyle w:val="Ttulodaseoprimria"/>
        <w:rPr>
          <w:sz w:val="24"/>
          <w:shd w:val="clear" w:color="auto" w:fill="FFFFFF"/>
        </w:rPr>
      </w:pPr>
      <w:proofErr w:type="gramStart"/>
      <w:r>
        <w:rPr>
          <w:sz w:val="24"/>
          <w:shd w:val="clear" w:color="auto" w:fill="FFFFFF"/>
        </w:rPr>
        <w:t>4</w:t>
      </w:r>
      <w:proofErr w:type="gramEnd"/>
      <w:r>
        <w:rPr>
          <w:sz w:val="24"/>
          <w:shd w:val="clear" w:color="auto" w:fill="FFFFFF"/>
        </w:rPr>
        <w:t xml:space="preserve"> RESULTADOS e DISCUSSÃO </w:t>
      </w:r>
    </w:p>
    <w:p w:rsidR="00890597" w:rsidRDefault="00FA4295">
      <w:pPr>
        <w:rPr>
          <w:shd w:val="clear" w:color="auto" w:fill="FFFFFF"/>
        </w:rPr>
      </w:pPr>
      <w:r>
        <w:rPr>
          <w:shd w:val="clear" w:color="auto" w:fill="FFFFFF"/>
        </w:rPr>
        <w:t>A releitura dos títulos bibliográficos nos mostra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que a referida legislaçã</w:t>
      </w:r>
      <w:r>
        <w:rPr>
          <w:shd w:val="clear" w:color="auto" w:fill="FFFFFF"/>
        </w:rPr>
        <w:t xml:space="preserve">o é bem recente, deixando ainda uma série de dúvidas, sobre os riscos a que podem se sujeitar ou até mesmo sofrer os consumidores de alimentos que contenham organismos geneticamente modificados. Por essa razão, foi editado o decreto 4680/2003 que trata da </w:t>
      </w:r>
      <w:r>
        <w:rPr>
          <w:shd w:val="clear" w:color="auto" w:fill="FFFFFF"/>
        </w:rPr>
        <w:t>rotulagem desses alimentos, apenas regulamentando o direito à informação que já fora assegurado pela LF 8078/1990.</w:t>
      </w:r>
    </w:p>
    <w:p w:rsidR="00890597" w:rsidRDefault="00FA4295">
      <w:pPr>
        <w:rPr>
          <w:color w:val="000000"/>
        </w:rPr>
      </w:pPr>
      <w:r>
        <w:rPr>
          <w:color w:val="000000"/>
        </w:rPr>
        <w:t>Defendidos por grandes empresa</w:t>
      </w:r>
      <w:r w:rsidR="002C5B8D">
        <w:rPr>
          <w:color w:val="000000"/>
        </w:rPr>
        <w:t>s</w:t>
      </w:r>
      <w:bookmarkStart w:id="0" w:name="_GoBack"/>
      <w:bookmarkEnd w:id="0"/>
      <w:r>
        <w:rPr>
          <w:color w:val="000000"/>
        </w:rPr>
        <w:t xml:space="preserve"> agroindustriais, os transgênicos, segundo eles contribuiriam para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aumentar divisas, por proporcionarem maior p</w:t>
      </w:r>
      <w:r>
        <w:rPr>
          <w:color w:val="000000"/>
        </w:rPr>
        <w:t>articipação dos produtos brasileiros no mercado internacional.</w:t>
      </w:r>
      <w:r>
        <w:rPr>
          <w:color w:val="000000"/>
        </w:rPr>
        <w:t xml:space="preserve"> Ainda, como fim social, as sementes transgênicas contribuiriam para resolver o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problema da fome</w:t>
      </w:r>
      <w:r>
        <w:rPr>
          <w:rStyle w:val="apple-converted-space"/>
          <w:b/>
          <w:bCs/>
          <w:color w:val="000000"/>
        </w:rPr>
        <w:t xml:space="preserve"> </w:t>
      </w:r>
      <w:r>
        <w:rPr>
          <w:color w:val="000000"/>
        </w:rPr>
        <w:t>nos países em desenvolvimento. Evidentemente que com relação à</w:t>
      </w:r>
      <w:r>
        <w:rPr>
          <w:color w:val="000000"/>
        </w:rPr>
        <w:t xml:space="preserve"> fome isso é uma grande falácia, como foi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introdução dos agrotóxicos anos atrás.</w:t>
      </w:r>
    </w:p>
    <w:p w:rsidR="00890597" w:rsidRDefault="00FA4295">
      <w:pPr>
        <w:pStyle w:val="Corpodotexto"/>
        <w:rPr>
          <w:color w:val="000000"/>
        </w:rPr>
      </w:pPr>
      <w:r>
        <w:t>O agronegócio, de proporções gigantescas, não declara abertamente, mas os transgênicos</w:t>
      </w:r>
      <w:r>
        <w:rPr>
          <w:color w:val="000000"/>
        </w:rPr>
        <w:t xml:space="preserve"> em comparação aos agrotóxicos</w:t>
      </w:r>
      <w:proofErr w:type="gramStart"/>
      <w:r>
        <w:rPr>
          <w:color w:val="000000"/>
        </w:rPr>
        <w:t>, tem</w:t>
      </w:r>
      <w:proofErr w:type="gramEnd"/>
      <w:r>
        <w:rPr>
          <w:color w:val="000000"/>
        </w:rPr>
        <w:t xml:space="preserve"> potencial bem mais destrutivo. O risco da poluição </w:t>
      </w:r>
      <w:r>
        <w:rPr>
          <w:color w:val="000000"/>
        </w:rPr>
        <w:t>genética advindos de lavouras modificadas é imprevisível.</w:t>
      </w:r>
    </w:p>
    <w:p w:rsidR="00890597" w:rsidRDefault="00FA4295">
      <w:pPr>
        <w:pStyle w:val="Corpodotexto"/>
        <w:rPr>
          <w:shd w:val="clear" w:color="auto" w:fill="FFFFFF"/>
        </w:rPr>
      </w:pPr>
      <w:r>
        <w:rPr>
          <w:shd w:val="clear" w:color="auto" w:fill="FFFFFF"/>
        </w:rPr>
        <w:t xml:space="preserve">Nesse diapasão, fica evidente o quanto o agronegócio é responsável pela maior parte dos alimentos que consumimos. Assim, faz-se necessário adentrarmos no campo da regulamentação desses </w:t>
      </w:r>
      <w:proofErr w:type="spellStart"/>
      <w:r>
        <w:rPr>
          <w:shd w:val="clear" w:color="auto" w:fill="FFFFFF"/>
        </w:rPr>
        <w:t>OMG’s</w:t>
      </w:r>
      <w:proofErr w:type="spellEnd"/>
      <w:r>
        <w:rPr>
          <w:shd w:val="clear" w:color="auto" w:fill="FFFFFF"/>
        </w:rPr>
        <w:t xml:space="preserve">. Como </w:t>
      </w:r>
      <w:r>
        <w:rPr>
          <w:shd w:val="clear" w:color="auto" w:fill="FFFFFF"/>
        </w:rPr>
        <w:t>sabemos o Brasil é o maior produtor mundial de soja transgênica, sendo que 80% de nossas lavouras são de soja geneticamente modificada.</w:t>
      </w:r>
    </w:p>
    <w:p w:rsidR="00890597" w:rsidRDefault="00FA4295">
      <w:r>
        <w:tab/>
      </w:r>
      <w:r>
        <w:tab/>
      </w:r>
      <w:r>
        <w:tab/>
      </w:r>
    </w:p>
    <w:p w:rsidR="00890597" w:rsidRDefault="00FA4295">
      <w:pPr>
        <w:pStyle w:val="Ttulodaseoprimria"/>
        <w:rPr>
          <w:sz w:val="24"/>
        </w:rPr>
      </w:pP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CONSIDERAÇÕES FINAIS</w:t>
      </w:r>
    </w:p>
    <w:p w:rsidR="00890597" w:rsidRDefault="00FA4295">
      <w:pPr>
        <w:rPr>
          <w:shd w:val="clear" w:color="auto" w:fill="FFFFFF"/>
        </w:rPr>
      </w:pPr>
      <w:r>
        <w:t xml:space="preserve">Ante o exposto, acreditamos que </w:t>
      </w:r>
      <w:r>
        <w:rPr>
          <w:shd w:val="clear" w:color="auto" w:fill="FFFFFF"/>
        </w:rPr>
        <w:t>a produção, comercialização e o consumo dos produtos genetica</w:t>
      </w:r>
      <w:r>
        <w:rPr>
          <w:shd w:val="clear" w:color="auto" w:fill="FFFFFF"/>
        </w:rPr>
        <w:t xml:space="preserve">mente modificados, principalmente em relação à informação é muito </w:t>
      </w:r>
      <w:proofErr w:type="gramStart"/>
      <w:r>
        <w:rPr>
          <w:shd w:val="clear" w:color="auto" w:fill="FFFFFF"/>
        </w:rPr>
        <w:t>incipiente</w:t>
      </w:r>
      <w:proofErr w:type="gramEnd"/>
      <w:r>
        <w:rPr>
          <w:shd w:val="clear" w:color="auto" w:fill="FFFFFF"/>
        </w:rPr>
        <w:t xml:space="preserve">. Agregado a isto, </w:t>
      </w:r>
      <w:r>
        <w:rPr>
          <w:rStyle w:val="apple-converted-space"/>
          <w:shd w:val="clear" w:color="auto" w:fill="FFFFFF"/>
        </w:rPr>
        <w:t xml:space="preserve">podemos dizer que </w:t>
      </w:r>
      <w:r>
        <w:rPr>
          <w:shd w:val="clear" w:color="auto" w:fill="FFFFFF"/>
        </w:rPr>
        <w:t>direito de informação representa importante via de obtenção de conhecimento das propriedades concernentes aos produtos transgênicos, no qual os</w:t>
      </w:r>
      <w:r>
        <w:rPr>
          <w:shd w:val="clear" w:color="auto" w:fill="FFFFFF"/>
        </w:rPr>
        <w:t xml:space="preserve"> fornecedores devem viabilizá-lo </w:t>
      </w:r>
      <w:r>
        <w:rPr>
          <w:shd w:val="clear" w:color="auto" w:fill="FFFFFF"/>
        </w:rPr>
        <w:lastRenderedPageBreak/>
        <w:t>por meio da utilização de ferramentas como os rótulos que descrevem as propriedades contidas nesses produtos, os riscos e a nocividade quanto à saúde do consumidor. Embora ainda não tenhamos a informação dos riscos à saúde,</w:t>
      </w:r>
      <w:r>
        <w:rPr>
          <w:shd w:val="clear" w:color="auto" w:fill="FFFFFF"/>
        </w:rPr>
        <w:t xml:space="preserve"> é possível perceber que a lei que obriga que as empresas a rotulem seus produtos modificados geneticamente já é um avanço na matéria, mesmo com todo o lobby do agronegócio. </w:t>
      </w:r>
    </w:p>
    <w:p w:rsidR="00890597" w:rsidRDefault="00890597">
      <w:pPr>
        <w:ind w:firstLine="0"/>
      </w:pPr>
    </w:p>
    <w:p w:rsidR="00890597" w:rsidRDefault="00FA4295">
      <w:pPr>
        <w:pStyle w:val="Ttulodaseoprimria"/>
        <w:jc w:val="left"/>
        <w:rPr>
          <w:sz w:val="24"/>
        </w:rPr>
      </w:pPr>
      <w:r>
        <w:rPr>
          <w:sz w:val="24"/>
        </w:rPr>
        <w:t>REFERÊNCIAS</w:t>
      </w:r>
    </w:p>
    <w:p w:rsidR="00890597" w:rsidRDefault="00890597">
      <w:pPr>
        <w:pStyle w:val="Ttulodaseoprimria"/>
        <w:jc w:val="left"/>
        <w:rPr>
          <w:b w:val="0"/>
          <w:sz w:val="24"/>
        </w:rPr>
      </w:pPr>
    </w:p>
    <w:p w:rsidR="00890597" w:rsidRDefault="00FA4295">
      <w:pPr>
        <w:pStyle w:val="Ttulodaseoprimria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VIEIRA, Adriana Carvalho Pinto; e JUNIOR, Pedro Abel Vieira. </w:t>
      </w:r>
      <w:r>
        <w:rPr>
          <w:bCs/>
          <w:color w:val="000000"/>
          <w:sz w:val="24"/>
        </w:rPr>
        <w:t xml:space="preserve">Direitos dos Consumidores e Produtos Transgênicos – Uma Questão Polêmica para a Bioética e o </w:t>
      </w:r>
      <w:proofErr w:type="spellStart"/>
      <w:r>
        <w:rPr>
          <w:bCs/>
          <w:color w:val="000000"/>
          <w:sz w:val="24"/>
        </w:rPr>
        <w:t>Biodireito</w:t>
      </w:r>
      <w:proofErr w:type="spellEnd"/>
      <w:r>
        <w:rPr>
          <w:bCs/>
          <w:color w:val="000000"/>
          <w:sz w:val="24"/>
        </w:rPr>
        <w:t>.</w:t>
      </w:r>
      <w:r>
        <w:rPr>
          <w:b w:val="0"/>
          <w:color w:val="000000"/>
          <w:sz w:val="24"/>
        </w:rPr>
        <w:t xml:space="preserve"> Curitiba. 2008.</w:t>
      </w:r>
    </w:p>
    <w:p w:rsidR="00890597" w:rsidRDefault="00890597">
      <w:pPr>
        <w:pStyle w:val="Ttulodaseoprimria"/>
        <w:jc w:val="left"/>
        <w:rPr>
          <w:b w:val="0"/>
          <w:color w:val="000000"/>
          <w:sz w:val="24"/>
        </w:rPr>
      </w:pPr>
    </w:p>
    <w:p w:rsidR="00890597" w:rsidRDefault="00FA4295">
      <w:pPr>
        <w:pStyle w:val="Ttulodaseoprimria"/>
        <w:jc w:val="left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 xml:space="preserve">SOUZA, Anderson da Gloria de. </w:t>
      </w:r>
      <w:r>
        <w:rPr>
          <w:bCs/>
          <w:color w:val="000000"/>
          <w:sz w:val="24"/>
        </w:rPr>
        <w:t>Alimentos transgênicos: narrativas e contra narrativas.</w:t>
      </w:r>
      <w:r>
        <w:rPr>
          <w:b w:val="0"/>
          <w:bCs/>
          <w:color w:val="000000"/>
          <w:sz w:val="24"/>
        </w:rPr>
        <w:t xml:space="preserve"> Universidade de Brasília, Brasília, 2013.</w:t>
      </w:r>
    </w:p>
    <w:p w:rsidR="00890597" w:rsidRDefault="00FA4295">
      <w:pPr>
        <w:pStyle w:val="Ttulodaseoprimria"/>
        <w:jc w:val="left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 </w:t>
      </w:r>
    </w:p>
    <w:p w:rsidR="00890597" w:rsidRPr="002C5B8D" w:rsidRDefault="00FA4295">
      <w:pPr>
        <w:pStyle w:val="Ttulodaseoprimria"/>
        <w:jc w:val="left"/>
        <w:rPr>
          <w:b w:val="0"/>
          <w:color w:val="000000"/>
          <w:sz w:val="24"/>
          <w:lang w:val="en-US"/>
        </w:rPr>
      </w:pPr>
      <w:r>
        <w:rPr>
          <w:b w:val="0"/>
          <w:color w:val="000000"/>
          <w:sz w:val="24"/>
        </w:rPr>
        <w:t>Viei</w:t>
      </w:r>
      <w:r>
        <w:rPr>
          <w:b w:val="0"/>
          <w:color w:val="000000"/>
          <w:sz w:val="24"/>
        </w:rPr>
        <w:t xml:space="preserve">ra, Jair </w:t>
      </w:r>
      <w:proofErr w:type="spellStart"/>
      <w:r>
        <w:rPr>
          <w:b w:val="0"/>
          <w:color w:val="000000"/>
          <w:sz w:val="24"/>
        </w:rPr>
        <w:t>Lot</w:t>
      </w:r>
      <w:proofErr w:type="spellEnd"/>
      <w:r>
        <w:rPr>
          <w:b w:val="0"/>
          <w:color w:val="000000"/>
          <w:sz w:val="24"/>
        </w:rPr>
        <w:t xml:space="preserve">. </w:t>
      </w:r>
      <w:r>
        <w:rPr>
          <w:bCs/>
          <w:color w:val="000000"/>
          <w:sz w:val="24"/>
        </w:rPr>
        <w:t xml:space="preserve">Clonagem e Transgênicos. </w:t>
      </w:r>
      <w:proofErr w:type="spellStart"/>
      <w:r w:rsidRPr="002C5B8D">
        <w:rPr>
          <w:b w:val="0"/>
          <w:color w:val="000000"/>
          <w:sz w:val="24"/>
          <w:lang w:val="en-US"/>
        </w:rPr>
        <w:t>Editora</w:t>
      </w:r>
      <w:proofErr w:type="spellEnd"/>
      <w:r w:rsidRPr="002C5B8D">
        <w:rPr>
          <w:b w:val="0"/>
          <w:color w:val="000000"/>
          <w:sz w:val="24"/>
          <w:lang w:val="en-US"/>
        </w:rPr>
        <w:t xml:space="preserve">: </w:t>
      </w:r>
      <w:proofErr w:type="spellStart"/>
      <w:r w:rsidRPr="002C5B8D">
        <w:rPr>
          <w:b w:val="0"/>
          <w:color w:val="000000"/>
          <w:sz w:val="24"/>
          <w:lang w:val="en-US"/>
        </w:rPr>
        <w:t>Edipro</w:t>
      </w:r>
      <w:proofErr w:type="spellEnd"/>
      <w:r w:rsidRPr="002C5B8D">
        <w:rPr>
          <w:b w:val="0"/>
          <w:color w:val="000000"/>
          <w:sz w:val="24"/>
          <w:lang w:val="en-US"/>
        </w:rPr>
        <w:t>.</w:t>
      </w:r>
    </w:p>
    <w:p w:rsidR="00890597" w:rsidRPr="002C5B8D" w:rsidRDefault="00890597">
      <w:pPr>
        <w:pStyle w:val="Ttulodaseoprimria"/>
        <w:jc w:val="left"/>
        <w:rPr>
          <w:b w:val="0"/>
          <w:color w:val="000000"/>
          <w:sz w:val="24"/>
          <w:lang w:val="en-US"/>
        </w:rPr>
      </w:pPr>
    </w:p>
    <w:p w:rsidR="00890597" w:rsidRDefault="00FA4295">
      <w:pPr>
        <w:pStyle w:val="Ttulodaseoprimria"/>
        <w:jc w:val="left"/>
        <w:rPr>
          <w:b w:val="0"/>
          <w:color w:val="000000"/>
          <w:sz w:val="24"/>
        </w:rPr>
      </w:pPr>
      <w:r w:rsidRPr="002C5B8D">
        <w:rPr>
          <w:b w:val="0"/>
          <w:color w:val="000000"/>
          <w:sz w:val="24"/>
          <w:lang w:val="en-US"/>
        </w:rPr>
        <w:t xml:space="preserve">ALTIERI, M., NICHOLLS, C. I. </w:t>
      </w:r>
      <w:r w:rsidRPr="002C5B8D">
        <w:rPr>
          <w:bCs/>
          <w:color w:val="000000"/>
          <w:sz w:val="24"/>
          <w:lang w:val="en-US"/>
        </w:rPr>
        <w:t>Agricultural Biotechnology: the myths, the environmental risks and the alternatives</w:t>
      </w:r>
      <w:r w:rsidRPr="002C5B8D">
        <w:rPr>
          <w:b w:val="0"/>
          <w:color w:val="000000"/>
          <w:sz w:val="24"/>
          <w:lang w:val="en-US"/>
        </w:rPr>
        <w:t xml:space="preserve">. </w:t>
      </w:r>
      <w:r>
        <w:rPr>
          <w:b w:val="0"/>
          <w:color w:val="000000"/>
          <w:sz w:val="24"/>
        </w:rPr>
        <w:t xml:space="preserve">Berkeley, EUA: </w:t>
      </w:r>
      <w:proofErr w:type="spellStart"/>
      <w:r>
        <w:rPr>
          <w:b w:val="0"/>
          <w:color w:val="000000"/>
          <w:sz w:val="24"/>
        </w:rPr>
        <w:t>University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of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California</w:t>
      </w:r>
      <w:proofErr w:type="spellEnd"/>
      <w:r>
        <w:rPr>
          <w:b w:val="0"/>
          <w:color w:val="000000"/>
          <w:sz w:val="24"/>
        </w:rPr>
        <w:t>. 1999.</w:t>
      </w:r>
    </w:p>
    <w:p w:rsidR="00890597" w:rsidRDefault="00890597">
      <w:pPr>
        <w:pStyle w:val="Ttulodaseoprimria"/>
        <w:jc w:val="left"/>
        <w:rPr>
          <w:b w:val="0"/>
          <w:color w:val="000000"/>
          <w:sz w:val="24"/>
        </w:rPr>
      </w:pPr>
    </w:p>
    <w:p w:rsidR="00890597" w:rsidRDefault="00FA4295">
      <w:pPr>
        <w:pStyle w:val="Ttulodaseoprimria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Lei de Biossegurança - Lei Nº 11.105,</w:t>
      </w:r>
      <w:r>
        <w:rPr>
          <w:b w:val="0"/>
          <w:color w:val="000000"/>
          <w:sz w:val="24"/>
        </w:rPr>
        <w:t xml:space="preserve"> de </w:t>
      </w:r>
      <w:proofErr w:type="gramStart"/>
      <w:r>
        <w:rPr>
          <w:b w:val="0"/>
          <w:color w:val="000000"/>
          <w:sz w:val="24"/>
        </w:rPr>
        <w:t>24.3.2005</w:t>
      </w:r>
      <w:proofErr w:type="gramEnd"/>
    </w:p>
    <w:p w:rsidR="00890597" w:rsidRDefault="00890597">
      <w:pPr>
        <w:pStyle w:val="Ttulodaseoprimria"/>
        <w:jc w:val="left"/>
        <w:rPr>
          <w:rFonts w:ascii="Helvetica;Arial;lucida grande;t" w:hAnsi="Helvetica;Arial;lucida grande;t" w:hint="eastAsia"/>
          <w:b w:val="0"/>
          <w:color w:val="3E454C"/>
          <w:sz w:val="14"/>
        </w:rPr>
      </w:pPr>
    </w:p>
    <w:p w:rsidR="00890597" w:rsidRDefault="00890597">
      <w:pPr>
        <w:pStyle w:val="Ttulodaseoprimria"/>
        <w:jc w:val="left"/>
      </w:pPr>
    </w:p>
    <w:sectPr w:rsidR="00890597">
      <w:headerReference w:type="default" r:id="rId7"/>
      <w:pgSz w:w="11906" w:h="16838"/>
      <w:pgMar w:top="1701" w:right="1134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95" w:rsidRDefault="00FA4295">
      <w:pPr>
        <w:spacing w:after="0" w:line="240" w:lineRule="auto"/>
      </w:pPr>
      <w:r>
        <w:separator/>
      </w:r>
    </w:p>
  </w:endnote>
  <w:endnote w:type="continuationSeparator" w:id="0">
    <w:p w:rsidR="00FA4295" w:rsidRDefault="00FA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Helvetica;Arial;lucida grande;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95" w:rsidRDefault="00FA4295">
      <w:r>
        <w:separator/>
      </w:r>
    </w:p>
  </w:footnote>
  <w:footnote w:type="continuationSeparator" w:id="0">
    <w:p w:rsidR="00FA4295" w:rsidRDefault="00FA4295">
      <w:r>
        <w:continuationSeparator/>
      </w:r>
    </w:p>
  </w:footnote>
  <w:footnote w:id="1">
    <w:p w:rsidR="00890597" w:rsidRDefault="00FA4295">
      <w:pPr>
        <w:pStyle w:val="Notaderodap"/>
        <w:ind w:firstLine="0"/>
        <w:rPr>
          <w:sz w:val="16"/>
          <w:szCs w:val="16"/>
        </w:rPr>
      </w:pPr>
      <w:r>
        <w:footnoteRef/>
      </w:r>
      <w:r>
        <w:tab/>
      </w:r>
      <w:r>
        <w:tab/>
        <w:t xml:space="preserve">- </w:t>
      </w:r>
      <w:r>
        <w:rPr>
          <w:sz w:val="16"/>
          <w:szCs w:val="16"/>
        </w:rPr>
        <w:t>Autora. Discente da Graduação em Direito pela FURG.</w:t>
      </w:r>
    </w:p>
    <w:p w:rsidR="00890597" w:rsidRDefault="00890597">
      <w:pPr>
        <w:pStyle w:val="Notaderodap"/>
      </w:pPr>
    </w:p>
  </w:footnote>
  <w:footnote w:id="2">
    <w:p w:rsidR="00890597" w:rsidRDefault="00FA4295">
      <w:pPr>
        <w:pStyle w:val="Notaderodap"/>
        <w:ind w:firstLine="0"/>
        <w:rPr>
          <w:sz w:val="16"/>
          <w:szCs w:val="16"/>
        </w:rPr>
      </w:pPr>
      <w:r>
        <w:footnoteRef/>
      </w:r>
      <w:r>
        <w:tab/>
      </w:r>
      <w:r>
        <w:tab/>
        <w:t xml:space="preserve">- </w:t>
      </w:r>
      <w:r>
        <w:rPr>
          <w:sz w:val="16"/>
          <w:szCs w:val="16"/>
        </w:rPr>
        <w:t xml:space="preserve">Coautor. </w:t>
      </w:r>
      <w:r>
        <w:rPr>
          <w:sz w:val="16"/>
          <w:szCs w:val="16"/>
        </w:rPr>
        <w:t>Discente da Graduação em Direito pela FURG.</w:t>
      </w:r>
    </w:p>
    <w:p w:rsidR="00890597" w:rsidRDefault="00890597">
      <w:pPr>
        <w:pStyle w:val="Notaderodap"/>
      </w:pPr>
    </w:p>
  </w:footnote>
  <w:footnote w:id="3">
    <w:p w:rsidR="00890597" w:rsidRDefault="00FA4295">
      <w:pPr>
        <w:pStyle w:val="Notaderodap"/>
        <w:ind w:firstLine="0"/>
        <w:rPr>
          <w:sz w:val="16"/>
          <w:szCs w:val="16"/>
        </w:rPr>
      </w:pPr>
      <w:r>
        <w:footnoteRef/>
      </w:r>
      <w:r>
        <w:tab/>
      </w:r>
      <w:r>
        <w:tab/>
        <w:t>-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Coautor. Professor orientador. Docente pela FURG.</w:t>
      </w:r>
    </w:p>
    <w:p w:rsidR="00890597" w:rsidRDefault="00890597">
      <w:pPr>
        <w:pStyle w:val="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7" w:rsidRDefault="00FA4295">
    <w:pPr>
      <w:pStyle w:val="Cabealho"/>
      <w:jc w:val="center"/>
      <w:rPr>
        <w:rStyle w:val="nfaseforte"/>
      </w:rPr>
    </w:pPr>
    <w:r>
      <w:rPr>
        <w:rStyle w:val="nfaseforte"/>
      </w:rPr>
      <w:t>13ª Mostra da Produção Universitária</w:t>
    </w:r>
  </w:p>
  <w:p w:rsidR="00890597" w:rsidRDefault="00FA4295">
    <w:pPr>
      <w:pStyle w:val="Cabealho"/>
      <w:jc w:val="left"/>
      <w:rPr>
        <w:rStyle w:val="nfaseforte"/>
        <w:b w:val="0"/>
        <w:sz w:val="20"/>
        <w:szCs w:val="20"/>
      </w:rPr>
    </w:pPr>
    <w:r>
      <w:rPr>
        <w:rStyle w:val="nfaseforte"/>
        <w:b w:val="0"/>
        <w:sz w:val="20"/>
        <w:szCs w:val="20"/>
      </w:rPr>
      <w:t xml:space="preserve">. </w:t>
    </w:r>
  </w:p>
  <w:p w:rsidR="00890597" w:rsidRDefault="00FA4295">
    <w:pPr>
      <w:pStyle w:val="Cabealho"/>
      <w:jc w:val="center"/>
      <w:rPr>
        <w:rStyle w:val="nfaseforte"/>
        <w:b w:val="0"/>
        <w:sz w:val="18"/>
        <w:szCs w:val="20"/>
      </w:rPr>
    </w:pPr>
    <w:r>
      <w:rPr>
        <w:rStyle w:val="nfaseforte"/>
        <w:b w:val="0"/>
        <w:sz w:val="18"/>
        <w:szCs w:val="20"/>
      </w:rPr>
      <w:t xml:space="preserve">Rio Grande/RS, Brasil, </w:t>
    </w:r>
    <w:r>
      <w:rPr>
        <w:rStyle w:val="nfaseforte"/>
        <w:b w:val="0"/>
        <w:sz w:val="18"/>
        <w:szCs w:val="20"/>
      </w:rPr>
      <w:t>14</w:t>
    </w:r>
    <w:r>
      <w:rPr>
        <w:rStyle w:val="nfaseforte"/>
        <w:b w:val="0"/>
        <w:sz w:val="18"/>
        <w:szCs w:val="20"/>
      </w:rPr>
      <w:t xml:space="preserve"> a </w:t>
    </w:r>
    <w:r>
      <w:rPr>
        <w:rStyle w:val="nfaseforte"/>
        <w:b w:val="0"/>
        <w:sz w:val="18"/>
        <w:szCs w:val="20"/>
      </w:rPr>
      <w:t>17</w:t>
    </w:r>
    <w:r>
      <w:rPr>
        <w:rStyle w:val="nfaseforte"/>
        <w:b w:val="0"/>
        <w:sz w:val="18"/>
        <w:szCs w:val="20"/>
      </w:rPr>
      <w:t xml:space="preserve"> de outubro de 201</w:t>
    </w:r>
    <w:r>
      <w:rPr>
        <w:rStyle w:val="nfaseforte"/>
        <w:b w:val="0"/>
        <w:sz w:val="18"/>
        <w:szCs w:val="20"/>
      </w:rPr>
      <w:t>4</w:t>
    </w:r>
    <w:r>
      <w:rPr>
        <w:rStyle w:val="nfaseforte"/>
        <w:b w:val="0"/>
        <w:sz w:val="18"/>
        <w:szCs w:val="20"/>
      </w:rPr>
      <w:t>.</w:t>
    </w:r>
  </w:p>
  <w:p w:rsidR="00890597" w:rsidRDefault="00890597">
    <w:pPr>
      <w:pStyle w:val="Cabealh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97"/>
    <w:rsid w:val="002C5B8D"/>
    <w:rsid w:val="003561CC"/>
    <w:rsid w:val="00890597"/>
    <w:rsid w:val="00FA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overflowPunct w:val="0"/>
      <w:ind w:firstLine="709"/>
      <w:jc w:val="both"/>
    </w:pPr>
    <w:rPr>
      <w:rFonts w:ascii="Arial" w:eastAsia="Arial Unicode MS" w:hAnsi="Arial" w:cs="Arial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Pr>
      <w:rFonts w:ascii="Arial" w:eastAsia="Arial Unicode MS" w:hAnsi="Arial" w:cs="Times New Roman"/>
      <w:sz w:val="24"/>
      <w:szCs w:val="24"/>
    </w:rPr>
  </w:style>
  <w:style w:type="character" w:customStyle="1" w:styleId="TtuloChar">
    <w:name w:val="Título Char"/>
    <w:rPr>
      <w:rFonts w:ascii="Arial" w:eastAsia="Times New Roman" w:hAnsi="Arial" w:cs="Times New Roman"/>
      <w:b/>
      <w:bCs/>
      <w:caps/>
      <w:sz w:val="28"/>
      <w:szCs w:val="32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abealhoChar">
    <w:name w:val="Cabeçalho Char"/>
    <w:rPr>
      <w:rFonts w:ascii="Arial" w:eastAsia="Arial Unicode MS" w:hAnsi="Arial" w:cs="Times New Roman"/>
      <w:sz w:val="24"/>
      <w:szCs w:val="24"/>
    </w:rPr>
  </w:style>
  <w:style w:type="character" w:customStyle="1" w:styleId="RodapChar">
    <w:name w:val="Rodapé Char"/>
    <w:rPr>
      <w:rFonts w:ascii="Arial" w:eastAsia="Arial Unicode MS" w:hAnsi="Arial" w:cs="Times New Roman"/>
      <w:sz w:val="24"/>
      <w:szCs w:val="24"/>
    </w:rPr>
  </w:style>
  <w:style w:type="character" w:customStyle="1" w:styleId="nfaseforte">
    <w:name w:val="Ênfase forte"/>
    <w:rPr>
      <w:b/>
      <w:bCs/>
    </w:rPr>
  </w:style>
  <w:style w:type="character" w:customStyle="1" w:styleId="TextodenotadefimChar">
    <w:name w:val="Texto de nota de fim Char"/>
    <w:rPr>
      <w:rFonts w:ascii="Arial" w:eastAsia="Arial Unicode MS" w:hAnsi="Arial" w:cs="Arial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TextodenotaderodapChar">
    <w:name w:val="Texto de nota de rodapé Char"/>
    <w:rPr>
      <w:rFonts w:ascii="Arial" w:eastAsia="Arial Unicode MS" w:hAnsi="Arial" w:cs="Arial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apple-converted-space">
    <w:name w:val="apple-converted-space"/>
    <w:basedOn w:val="Fontepargpadro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pPr>
      <w:spacing w:before="240" w:after="60"/>
      <w:jc w:val="center"/>
    </w:pPr>
    <w:rPr>
      <w:rFonts w:eastAsia="Times New Roman"/>
      <w:b/>
      <w:bCs/>
      <w:caps/>
      <w:sz w:val="28"/>
      <w:szCs w:val="32"/>
    </w:rPr>
  </w:style>
  <w:style w:type="paragraph" w:styleId="Textodebalo">
    <w:name w:val="Balloon Text"/>
    <w:basedOn w:val="Normal"/>
    <w:pPr>
      <w:widowControl/>
      <w:suppressAutoHyphens w:val="0"/>
      <w:ind w:firstLine="0"/>
      <w:jc w:val="left"/>
    </w:pPr>
    <w:rPr>
      <w:rFonts w:ascii="Tahoma" w:eastAsia="Calibri" w:hAnsi="Tahoma" w:cs="Tahoma"/>
      <w:sz w:val="16"/>
      <w:szCs w:val="16"/>
    </w:rPr>
  </w:style>
  <w:style w:type="paragraph" w:customStyle="1" w:styleId="Ttulodaseoprimria">
    <w:name w:val="Título da seção primária"/>
    <w:basedOn w:val="Normal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pPr>
      <w:spacing w:before="120" w:after="120"/>
      <w:ind w:firstLine="0"/>
      <w:jc w:val="left"/>
    </w:pPr>
  </w:style>
  <w:style w:type="paragraph" w:customStyle="1" w:styleId="Leyendadefiguraotabla">
    <w:name w:val="Leyenda de figura o tabla"/>
    <w:basedOn w:val="Normal"/>
    <w:pPr>
      <w:widowControl/>
      <w:spacing w:before="120" w:after="360"/>
      <w:jc w:val="center"/>
    </w:pPr>
    <w:rPr>
      <w:rFonts w:eastAsia="Times New Roman"/>
      <w:i/>
      <w:sz w:val="18"/>
      <w:lang w:val="es-ES"/>
    </w:rPr>
  </w:style>
  <w:style w:type="paragraph" w:customStyle="1" w:styleId="Tabla-Texto">
    <w:name w:val="Tabla-Texto"/>
    <w:basedOn w:val="Normal"/>
    <w:pPr>
      <w:widowControl/>
      <w:spacing w:before="20" w:after="20"/>
    </w:pPr>
    <w:rPr>
      <w:rFonts w:eastAsia="Times New Roman"/>
      <w:sz w:val="18"/>
      <w:lang w:val="es-ES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Notadefim">
    <w:name w:val="Nota de fim"/>
    <w:basedOn w:val="Normal"/>
    <w:rPr>
      <w:sz w:val="20"/>
      <w:szCs w:val="20"/>
    </w:rPr>
  </w:style>
  <w:style w:type="paragraph" w:customStyle="1" w:styleId="Notaderodap">
    <w:name w:val="Nota de rodapé"/>
    <w:basedOn w:val="Normal"/>
    <w:rPr>
      <w:sz w:val="20"/>
      <w:szCs w:val="20"/>
    </w:rPr>
  </w:style>
  <w:style w:type="paragraph" w:styleId="SemEspaamento">
    <w:name w:val="No Spacing"/>
    <w:pPr>
      <w:suppressAutoHyphens/>
      <w:overflowPunct w:val="0"/>
      <w:spacing w:line="100" w:lineRule="atLeast"/>
    </w:pPr>
    <w:rPr>
      <w:rFonts w:ascii="Calibri" w:eastAsia="SimSun;宋体" w:hAnsi="Calibri" w:cs="Mangal"/>
      <w:color w:val="00000A"/>
      <w:sz w:val="24"/>
      <w:szCs w:val="24"/>
      <w:lang w:eastAsia="zh-CN" w:bidi="hi-IN"/>
    </w:rPr>
  </w:style>
  <w:style w:type="paragraph" w:styleId="Sumrio1">
    <w:name w:val="toc 1"/>
    <w:basedOn w:val="Normal"/>
    <w:pPr>
      <w:spacing w:before="360" w:after="360"/>
    </w:pPr>
    <w:rPr>
      <w:rFonts w:cs="Calibri"/>
      <w:bCs/>
      <w:caps/>
      <w:u w:val="single"/>
    </w:rPr>
  </w:style>
  <w:style w:type="paragraph" w:customStyle="1" w:styleId="Ttulododocumento">
    <w:name w:val="Título do documento"/>
    <w:basedOn w:val="Normal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overflowPunct w:val="0"/>
      <w:ind w:firstLine="709"/>
      <w:jc w:val="both"/>
    </w:pPr>
    <w:rPr>
      <w:rFonts w:ascii="Arial" w:eastAsia="Arial Unicode MS" w:hAnsi="Arial" w:cs="Arial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Pr>
      <w:rFonts w:ascii="Arial" w:eastAsia="Arial Unicode MS" w:hAnsi="Arial" w:cs="Times New Roman"/>
      <w:sz w:val="24"/>
      <w:szCs w:val="24"/>
    </w:rPr>
  </w:style>
  <w:style w:type="character" w:customStyle="1" w:styleId="TtuloChar">
    <w:name w:val="Título Char"/>
    <w:rPr>
      <w:rFonts w:ascii="Arial" w:eastAsia="Times New Roman" w:hAnsi="Arial" w:cs="Times New Roman"/>
      <w:b/>
      <w:bCs/>
      <w:caps/>
      <w:sz w:val="28"/>
      <w:szCs w:val="32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abealhoChar">
    <w:name w:val="Cabeçalho Char"/>
    <w:rPr>
      <w:rFonts w:ascii="Arial" w:eastAsia="Arial Unicode MS" w:hAnsi="Arial" w:cs="Times New Roman"/>
      <w:sz w:val="24"/>
      <w:szCs w:val="24"/>
    </w:rPr>
  </w:style>
  <w:style w:type="character" w:customStyle="1" w:styleId="RodapChar">
    <w:name w:val="Rodapé Char"/>
    <w:rPr>
      <w:rFonts w:ascii="Arial" w:eastAsia="Arial Unicode MS" w:hAnsi="Arial" w:cs="Times New Roman"/>
      <w:sz w:val="24"/>
      <w:szCs w:val="24"/>
    </w:rPr>
  </w:style>
  <w:style w:type="character" w:customStyle="1" w:styleId="nfaseforte">
    <w:name w:val="Ênfase forte"/>
    <w:rPr>
      <w:b/>
      <w:bCs/>
    </w:rPr>
  </w:style>
  <w:style w:type="character" w:customStyle="1" w:styleId="TextodenotadefimChar">
    <w:name w:val="Texto de nota de fim Char"/>
    <w:rPr>
      <w:rFonts w:ascii="Arial" w:eastAsia="Arial Unicode MS" w:hAnsi="Arial" w:cs="Arial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TextodenotaderodapChar">
    <w:name w:val="Texto de nota de rodapé Char"/>
    <w:rPr>
      <w:rFonts w:ascii="Arial" w:eastAsia="Arial Unicode MS" w:hAnsi="Arial" w:cs="Arial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apple-converted-space">
    <w:name w:val="apple-converted-space"/>
    <w:basedOn w:val="Fontepargpadro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pPr>
      <w:spacing w:before="240" w:after="60"/>
      <w:jc w:val="center"/>
    </w:pPr>
    <w:rPr>
      <w:rFonts w:eastAsia="Times New Roman"/>
      <w:b/>
      <w:bCs/>
      <w:caps/>
      <w:sz w:val="28"/>
      <w:szCs w:val="32"/>
    </w:rPr>
  </w:style>
  <w:style w:type="paragraph" w:styleId="Textodebalo">
    <w:name w:val="Balloon Text"/>
    <w:basedOn w:val="Normal"/>
    <w:pPr>
      <w:widowControl/>
      <w:suppressAutoHyphens w:val="0"/>
      <w:ind w:firstLine="0"/>
      <w:jc w:val="left"/>
    </w:pPr>
    <w:rPr>
      <w:rFonts w:ascii="Tahoma" w:eastAsia="Calibri" w:hAnsi="Tahoma" w:cs="Tahoma"/>
      <w:sz w:val="16"/>
      <w:szCs w:val="16"/>
    </w:rPr>
  </w:style>
  <w:style w:type="paragraph" w:customStyle="1" w:styleId="Ttulodaseoprimria">
    <w:name w:val="Título da seção primária"/>
    <w:basedOn w:val="Normal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pPr>
      <w:spacing w:before="120" w:after="120"/>
      <w:ind w:firstLine="0"/>
      <w:jc w:val="left"/>
    </w:pPr>
  </w:style>
  <w:style w:type="paragraph" w:customStyle="1" w:styleId="Leyendadefiguraotabla">
    <w:name w:val="Leyenda de figura o tabla"/>
    <w:basedOn w:val="Normal"/>
    <w:pPr>
      <w:widowControl/>
      <w:spacing w:before="120" w:after="360"/>
      <w:jc w:val="center"/>
    </w:pPr>
    <w:rPr>
      <w:rFonts w:eastAsia="Times New Roman"/>
      <w:i/>
      <w:sz w:val="18"/>
      <w:lang w:val="es-ES"/>
    </w:rPr>
  </w:style>
  <w:style w:type="paragraph" w:customStyle="1" w:styleId="Tabla-Texto">
    <w:name w:val="Tabla-Texto"/>
    <w:basedOn w:val="Normal"/>
    <w:pPr>
      <w:widowControl/>
      <w:spacing w:before="20" w:after="20"/>
    </w:pPr>
    <w:rPr>
      <w:rFonts w:eastAsia="Times New Roman"/>
      <w:sz w:val="18"/>
      <w:lang w:val="es-ES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Notadefim">
    <w:name w:val="Nota de fim"/>
    <w:basedOn w:val="Normal"/>
    <w:rPr>
      <w:sz w:val="20"/>
      <w:szCs w:val="20"/>
    </w:rPr>
  </w:style>
  <w:style w:type="paragraph" w:customStyle="1" w:styleId="Notaderodap">
    <w:name w:val="Nota de rodapé"/>
    <w:basedOn w:val="Normal"/>
    <w:rPr>
      <w:sz w:val="20"/>
      <w:szCs w:val="20"/>
    </w:rPr>
  </w:style>
  <w:style w:type="paragraph" w:styleId="SemEspaamento">
    <w:name w:val="No Spacing"/>
    <w:pPr>
      <w:suppressAutoHyphens/>
      <w:overflowPunct w:val="0"/>
      <w:spacing w:line="100" w:lineRule="atLeast"/>
    </w:pPr>
    <w:rPr>
      <w:rFonts w:ascii="Calibri" w:eastAsia="SimSun;宋体" w:hAnsi="Calibri" w:cs="Mangal"/>
      <w:color w:val="00000A"/>
      <w:sz w:val="24"/>
      <w:szCs w:val="24"/>
      <w:lang w:eastAsia="zh-CN" w:bidi="hi-IN"/>
    </w:rPr>
  </w:style>
  <w:style w:type="paragraph" w:styleId="Sumrio1">
    <w:name w:val="toc 1"/>
    <w:basedOn w:val="Normal"/>
    <w:pPr>
      <w:spacing w:before="360" w:after="360"/>
    </w:pPr>
    <w:rPr>
      <w:rFonts w:cs="Calibri"/>
      <w:bCs/>
      <w:caps/>
      <w:u w:val="single"/>
    </w:rPr>
  </w:style>
  <w:style w:type="paragraph" w:customStyle="1" w:styleId="Ttulododocumento">
    <w:name w:val="Título do documento"/>
    <w:basedOn w:val="Normal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Rudnei e Valentina</cp:lastModifiedBy>
  <cp:revision>2</cp:revision>
  <cp:lastPrinted>2013-05-31T15:34:00Z</cp:lastPrinted>
  <dcterms:created xsi:type="dcterms:W3CDTF">2014-08-02T02:50:00Z</dcterms:created>
  <dcterms:modified xsi:type="dcterms:W3CDTF">2014-08-02T02:50:00Z</dcterms:modified>
</cp:coreProperties>
</file>