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05" w:rsidRDefault="00B46B4F">
      <w:pPr>
        <w:ind w:firstLine="0"/>
        <w:jc w:val="center"/>
        <w:rPr>
          <w:b/>
        </w:rPr>
      </w:pPr>
      <w:r>
        <w:rPr>
          <w:b/>
        </w:rPr>
        <w:t>O PROGRAMA DE INCENTIVO À FÍSICA COMO FORMA DE REDUZIR</w:t>
      </w:r>
      <w:r w:rsidR="008F2196">
        <w:rPr>
          <w:b/>
        </w:rPr>
        <w:t xml:space="preserve"> </w:t>
      </w:r>
      <w:r>
        <w:rPr>
          <w:b/>
        </w:rPr>
        <w:t>OS NÍVEIS DE EVASÃO</w:t>
      </w:r>
    </w:p>
    <w:p w:rsidR="00FB1D05" w:rsidRDefault="00FB1D05">
      <w:pPr>
        <w:ind w:firstLine="0"/>
        <w:jc w:val="right"/>
        <w:rPr>
          <w:b/>
        </w:rPr>
      </w:pPr>
    </w:p>
    <w:p w:rsidR="00FB1D05" w:rsidRDefault="00FB1D05">
      <w:pPr>
        <w:ind w:firstLine="0"/>
        <w:jc w:val="right"/>
        <w:rPr>
          <w:b/>
        </w:rPr>
      </w:pPr>
    </w:p>
    <w:p w:rsidR="00FB1D05" w:rsidRDefault="00B46B4F">
      <w:pPr>
        <w:ind w:firstLine="0"/>
        <w:jc w:val="right"/>
        <w:rPr>
          <w:b/>
        </w:rPr>
      </w:pPr>
      <w:r>
        <w:rPr>
          <w:b/>
        </w:rPr>
        <w:t>MESQUITA, Daniele Gonçalves</w:t>
      </w:r>
    </w:p>
    <w:p w:rsidR="00FB1D05" w:rsidRDefault="00B46B4F">
      <w:pPr>
        <w:ind w:firstLine="0"/>
        <w:jc w:val="right"/>
        <w:rPr>
          <w:b/>
        </w:rPr>
      </w:pPr>
      <w:r>
        <w:rPr>
          <w:b/>
        </w:rPr>
        <w:t>SANDIM, Vanessa Batista</w:t>
      </w:r>
    </w:p>
    <w:p w:rsidR="00FB1D05" w:rsidRDefault="00B46B4F">
      <w:pPr>
        <w:ind w:firstLine="0"/>
        <w:jc w:val="right"/>
        <w:rPr>
          <w:b/>
        </w:rPr>
      </w:pPr>
      <w:r>
        <w:rPr>
          <w:b/>
        </w:rPr>
        <w:t>MACKEDANZ, Luiz Fernando</w:t>
      </w:r>
    </w:p>
    <w:p w:rsidR="00FB1D05" w:rsidRDefault="00711D2C">
      <w:pPr>
        <w:ind w:firstLine="0"/>
        <w:jc w:val="right"/>
        <w:rPr>
          <w:b/>
        </w:rPr>
      </w:pPr>
      <w:r>
        <w:rPr>
          <w:b/>
        </w:rPr>
        <w:t>danielemesquita@furg.br</w:t>
      </w:r>
    </w:p>
    <w:p w:rsidR="00FB1D05" w:rsidRDefault="00FB1D05">
      <w:pPr>
        <w:ind w:firstLine="0"/>
        <w:jc w:val="right"/>
        <w:rPr>
          <w:b/>
        </w:rPr>
      </w:pPr>
    </w:p>
    <w:p w:rsidR="00FB1D05" w:rsidRDefault="00B46B4F">
      <w:pPr>
        <w:ind w:firstLine="0"/>
        <w:jc w:val="right"/>
        <w:rPr>
          <w:b/>
        </w:rPr>
      </w:pPr>
      <w:r>
        <w:rPr>
          <w:b/>
        </w:rPr>
        <w:t>Evento: Seminário de Ensino</w:t>
      </w:r>
    </w:p>
    <w:p w:rsidR="00FB1D05" w:rsidRDefault="00B46B4F">
      <w:pPr>
        <w:ind w:firstLine="0"/>
        <w:jc w:val="right"/>
        <w:rPr>
          <w:b/>
        </w:rPr>
      </w:pPr>
      <w:r>
        <w:rPr>
          <w:b/>
        </w:rPr>
        <w:t>Área do conhecimento: Ciências Humanas/Educação/Ensino de Física</w:t>
      </w:r>
    </w:p>
    <w:p w:rsidR="00FB1D05" w:rsidRDefault="00FB1D05">
      <w:pPr>
        <w:ind w:firstLine="0"/>
        <w:jc w:val="right"/>
        <w:rPr>
          <w:b/>
        </w:rPr>
      </w:pPr>
    </w:p>
    <w:p w:rsidR="00FB1D05" w:rsidRDefault="00784C3C">
      <w:pPr>
        <w:ind w:firstLine="0"/>
      </w:pPr>
      <w:r>
        <w:rPr>
          <w:b/>
        </w:rPr>
        <w:t>Palavras</w:t>
      </w:r>
      <w:r w:rsidR="00B46B4F">
        <w:rPr>
          <w:b/>
        </w:rPr>
        <w:t xml:space="preserve">-chave: </w:t>
      </w:r>
      <w:r w:rsidR="00B46B4F">
        <w:t>física; abordagens alternativas; evasão.</w:t>
      </w:r>
    </w:p>
    <w:p w:rsidR="00FB1D05" w:rsidRDefault="00FB1D05">
      <w:pPr>
        <w:pStyle w:val="Ttulodaseoprimria"/>
      </w:pPr>
    </w:p>
    <w:p w:rsidR="00FB1D05" w:rsidRDefault="00B46B4F">
      <w:pPr>
        <w:pStyle w:val="Ttulodaseoprimria"/>
      </w:pPr>
      <w:r>
        <w:t>1</w:t>
      </w:r>
      <w:r w:rsidR="000E0EC2">
        <w:t>.</w:t>
      </w:r>
      <w:r>
        <w:t xml:space="preserve"> INTRODUÇÃO</w:t>
      </w:r>
    </w:p>
    <w:p w:rsidR="00FB1D05" w:rsidRDefault="00FB1D05">
      <w:pPr>
        <w:pStyle w:val="Ttulodaseoprimria"/>
      </w:pPr>
    </w:p>
    <w:p w:rsidR="00FB1D05" w:rsidRDefault="00B46B4F">
      <w:pPr>
        <w:ind w:left="227" w:firstLine="567"/>
      </w:pPr>
      <w:r>
        <w:t xml:space="preserve">O Programa de Bolsas de ENSINO, PESQUISA, EXTENSÃO E MONITORIA - EPEM, integrado ao PROGRAMA DE DESENVOLVIMENTO DO ESTUDANTE - PDE, tem por finalidade propiciar aos acadêmicos uma oportunidade de trabalhar em uma das </w:t>
      </w:r>
      <w:r w:rsidR="000E0EC2">
        <w:t>quatro</w:t>
      </w:r>
      <w:r>
        <w:t xml:space="preserve"> linhas citadas acima, se envolvendo com o ambiente de pesquisa e ensino acadêmicos da Universidade. Neste trabalho, pretendemos relatar ações desenvolvidas na FURG com o objetivo de melhorar o</w:t>
      </w:r>
      <w:r w:rsidR="000E0EC2">
        <w:t xml:space="preserve"> </w:t>
      </w:r>
      <w:r>
        <w:t xml:space="preserve">rendimento de acadêmicos ingressantes nas disciplinas de Ciências Exatas. Aqui, mostramos o desenrolar destas atividades com os calouros do curso de Física, acompanhando suas dúvidas e discutindo diversos aspectos de Física I, Cálculo I e Geometria Analítica. O Programa de Incentivo à Física, repetido nos últimos </w:t>
      </w:r>
      <w:r w:rsidR="000E0EC2">
        <w:t>três</w:t>
      </w:r>
      <w:r>
        <w:t xml:space="preserve"> anos, tem propiciado um baixo índice de evasão da Universidade.</w:t>
      </w:r>
    </w:p>
    <w:p w:rsidR="00FB1D05" w:rsidRDefault="00FB1D05">
      <w:pPr>
        <w:ind w:left="227" w:firstLine="567"/>
      </w:pPr>
    </w:p>
    <w:p w:rsidR="00FB1D05" w:rsidRDefault="00B46B4F">
      <w:pPr>
        <w:ind w:firstLine="0"/>
        <w:jc w:val="left"/>
        <w:rPr>
          <w:b/>
        </w:rPr>
      </w:pPr>
      <w:r>
        <w:rPr>
          <w:b/>
        </w:rPr>
        <w:t>2</w:t>
      </w:r>
      <w:r w:rsidR="000E0EC2">
        <w:rPr>
          <w:b/>
        </w:rPr>
        <w:t>.</w:t>
      </w:r>
      <w:r>
        <w:rPr>
          <w:b/>
        </w:rPr>
        <w:t xml:space="preserve"> REFERENCIAL TEÓRICO</w:t>
      </w:r>
    </w:p>
    <w:p w:rsidR="00FB1D05" w:rsidRDefault="00FB1D05">
      <w:pPr>
        <w:ind w:firstLine="0"/>
        <w:jc w:val="left"/>
        <w:rPr>
          <w:b/>
        </w:rPr>
      </w:pPr>
    </w:p>
    <w:p w:rsidR="008F2196" w:rsidRPr="008F2196" w:rsidRDefault="008F2196" w:rsidP="008F2196">
      <w:r w:rsidRPr="008F2196">
        <w:t>Disciplinas como Física e Cálculo são vistas como grandes vilões nas áreas de Ciências Exatas e Engenharias</w:t>
      </w:r>
      <w:r>
        <w:t xml:space="preserve"> (MELO, 2009)</w:t>
      </w:r>
      <w:r w:rsidRPr="008F2196">
        <w:t xml:space="preserve">, uma vez que a maioria dos alunos sente a transição entre o Ensino Médio e o Ensino Superior, traduzida nas dificuldades verificadas pela falta de conteúdos considerados como pré-requisitos para estas disciplinas. Estas dificuldades nem sempre conseguem ser contornadas de forma satisfatória, o que aumenta a evasão e a repetência entre estes estudantes. Neste contexto, as propostas em geral tendem a buscar reforçar o conteúdo, como os projetos do Pré-Cálculo e </w:t>
      </w:r>
      <w:r w:rsidR="007D5832" w:rsidRPr="008F2196">
        <w:t>da PRIMA</w:t>
      </w:r>
      <w:r w:rsidRPr="008F2196">
        <w:t xml:space="preserve">, excelentes propostas do IMEF para melhorar a base matemática para os estudantes ingressantes. Uma proposta ainda em estudo é a realização de um projeto similar na área de Física (Pré-Física ou Física-0) para trabalhar conceitos básicos fundamentais como pré-requisitos para os estudantes da área de Ciências Exatas e Engenharias nas disciplinas de Física. </w:t>
      </w:r>
    </w:p>
    <w:p w:rsidR="00FB1D05" w:rsidRPr="008F2196" w:rsidRDefault="008F2196" w:rsidP="008F2196">
      <w:r w:rsidRPr="008F2196">
        <w:t xml:space="preserve">Porém, metodologias diferenciadas requerem grupos menores para trabalhar e também a necessidade da atuação de multiplicadores – estudantes que possam atuar como monitores sob a orientação restrita de um professor. Por outro lado, também esperamos que esta metodologia crie um ambiente de estudos que possa ser mantido mesmo depois do final do projeto. A parceria criada entre os estudantes nestas rodas de estudo será objeto de uma análise cuidadosa, visando apresentar </w:t>
      </w:r>
      <w:r w:rsidRPr="008F2196">
        <w:lastRenderedPageBreak/>
        <w:t>os dados colhidos em trabalhos sobre a aprendizagem no Ensino Superior.</w:t>
      </w:r>
    </w:p>
    <w:p w:rsidR="00FB1D05" w:rsidRDefault="00FB1D05"/>
    <w:p w:rsidR="00FB1D05" w:rsidRDefault="00B46B4F">
      <w:pPr>
        <w:pStyle w:val="Ttulodaseoprimria"/>
        <w:rPr>
          <w:rFonts w:ascii="Times New Roman" w:hAnsi="Times New Roman" w:cs="Times New Roman"/>
          <w:sz w:val="20"/>
          <w:szCs w:val="20"/>
          <w:lang w:eastAsia="pt-BR"/>
        </w:rPr>
      </w:pPr>
      <w:r>
        <w:t>3</w:t>
      </w:r>
      <w:r w:rsidR="000E0EC2">
        <w:t>.</w:t>
      </w:r>
      <w:r>
        <w:t xml:space="preserve"> MATERIAIS E MÉTODOS (ou PROCEDIMENTO METODOLÓGICO)</w:t>
      </w:r>
    </w:p>
    <w:p w:rsidR="00FB1D05" w:rsidRDefault="00CA6AEF">
      <w:pPr>
        <w:widowControl/>
        <w:ind w:firstLine="0"/>
        <w:jc w:val="left"/>
        <w:rPr>
          <w:rFonts w:cs="Times New Roman"/>
          <w:lang w:eastAsia="pt-BR"/>
        </w:rPr>
      </w:pPr>
      <w:r>
        <w:rPr>
          <w:rFonts w:ascii="Times New Roman" w:hAnsi="Times New Roman" w:cs="Times New Roman"/>
          <w:sz w:val="20"/>
          <w:szCs w:val="20"/>
          <w:lang w:eastAsia="pt-BR"/>
        </w:rPr>
        <w:tab/>
      </w:r>
      <w:r w:rsidR="00B46B4F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</w:p>
    <w:p w:rsidR="008F2196" w:rsidRDefault="00CA6AEF" w:rsidP="00CA6AEF">
      <w:pPr>
        <w:widowControl/>
        <w:ind w:firstLine="0"/>
        <w:rPr>
          <w:rFonts w:cs="Times New Roman"/>
          <w:lang w:eastAsia="pt-BR"/>
        </w:rPr>
      </w:pPr>
      <w:r>
        <w:rPr>
          <w:rFonts w:cs="Times New Roman"/>
          <w:lang w:eastAsia="pt-BR"/>
        </w:rPr>
        <w:tab/>
        <w:t>Para permitir a discussão entre os estudantes sobre os problemas, são realizadas duas reuniões semanais, com a presença do professor orientador e das bolsistas. Nestes encontros são discutidas estratégias de estudo, bem como trabalhados os exercícios propostos pelos professores das três disciplinas.</w:t>
      </w:r>
    </w:p>
    <w:p w:rsidR="00FB1D05" w:rsidRDefault="00B46B4F" w:rsidP="00CA6AEF">
      <w:pPr>
        <w:widowControl/>
        <w:ind w:firstLine="0"/>
        <w:rPr>
          <w:rFonts w:cs="Times New Roman"/>
          <w:lang w:eastAsia="en-US"/>
        </w:rPr>
      </w:pPr>
      <w:r>
        <w:rPr>
          <w:rFonts w:cs="Times New Roman"/>
          <w:lang w:eastAsia="pt-BR"/>
        </w:rPr>
        <w:t xml:space="preserve"> </w:t>
      </w:r>
      <w:r>
        <w:rPr>
          <w:rFonts w:cs="Times New Roman"/>
          <w:lang w:eastAsia="pt-BR"/>
        </w:rPr>
        <w:tab/>
      </w:r>
      <w:r w:rsidR="00CA6AEF">
        <w:rPr>
          <w:rFonts w:cs="Times New Roman"/>
          <w:lang w:eastAsia="pt-BR"/>
        </w:rPr>
        <w:t xml:space="preserve">Outra forma de trabalhar é a partir da experimentação. Para isto, usamos o laboratório e roteiros teórico-práticos, desenvolvidos a partir da Física Conceitual (HEWITT, 2011). Partindo do texto em inglês, traduzimos alguns destes textos, </w:t>
      </w:r>
      <w:r>
        <w:rPr>
          <w:rFonts w:cs="Times New Roman"/>
          <w:lang w:eastAsia="en-US"/>
        </w:rPr>
        <w:t>para estimular teoricamente os conceitos que normalmente são compreendidos por meio de cálculos.</w:t>
      </w:r>
    </w:p>
    <w:p w:rsidR="00FB1D05" w:rsidRDefault="00B46B4F" w:rsidP="004816E5">
      <w:pPr>
        <w:widowControl/>
        <w:ind w:firstLine="0"/>
      </w:pPr>
      <w:r>
        <w:rPr>
          <w:rFonts w:cs="Times New Roman"/>
          <w:lang w:eastAsia="en-US"/>
        </w:rPr>
        <w:tab/>
      </w:r>
      <w:r w:rsidR="00CA6AEF">
        <w:rPr>
          <w:rFonts w:cs="Times New Roman"/>
          <w:lang w:eastAsia="en-US"/>
        </w:rPr>
        <w:t>Desta forma, ainda podemos acompanhar as dificuldades mais comuns relatadas pelos estudantes</w:t>
      </w:r>
      <w:r w:rsidR="004816E5">
        <w:rPr>
          <w:rFonts w:cs="Times New Roman"/>
          <w:lang w:eastAsia="en-US"/>
        </w:rPr>
        <w:t>, o que nos permite realizar atividades mais direcionadas para este público.</w:t>
      </w:r>
      <w:r w:rsidR="004816E5">
        <w:t xml:space="preserve"> </w:t>
      </w:r>
    </w:p>
    <w:p w:rsidR="00FB1D05" w:rsidRDefault="00FB1D05"/>
    <w:p w:rsidR="004816E5" w:rsidRDefault="00B46B4F" w:rsidP="000E0EC2">
      <w:pPr>
        <w:pStyle w:val="Ttulodaseoprimria"/>
      </w:pPr>
      <w:r>
        <w:t>4</w:t>
      </w:r>
      <w:r w:rsidR="000E0EC2">
        <w:t>.</w:t>
      </w:r>
      <w:r>
        <w:t xml:space="preserve"> RESULTADOS e DISCUSSÃO </w:t>
      </w:r>
    </w:p>
    <w:p w:rsidR="000E0EC2" w:rsidRPr="000E0EC2" w:rsidRDefault="000E0EC2" w:rsidP="000E0EC2">
      <w:pPr>
        <w:pStyle w:val="Ttulodaseoprimria"/>
        <w:rPr>
          <w:rFonts w:cs="Times New Roman"/>
          <w:sz w:val="24"/>
          <w:lang w:eastAsia="en-US"/>
        </w:rPr>
      </w:pPr>
    </w:p>
    <w:p w:rsidR="004816E5" w:rsidRDefault="004816E5" w:rsidP="004816E5">
      <w:pPr>
        <w:widowControl/>
        <w:spacing w:after="160" w:line="256" w:lineRule="auto"/>
        <w:ind w:firstLine="708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A participação dos alunos nos encontros é um dos maiores indicativos do sucesso do projeto. Nos três anos de projeto, participaram 12 alunos do curso de Física, sendo que todos permanecem ligados a cursos da Universidade, apesar de não continuarem na Física. Vendo pelo lado positivo, a evasão da universidade foi nula. </w:t>
      </w:r>
    </w:p>
    <w:p w:rsidR="004816E5" w:rsidRDefault="004816E5" w:rsidP="004816E5">
      <w:pPr>
        <w:widowControl/>
        <w:spacing w:after="160" w:line="256" w:lineRule="auto"/>
        <w:ind w:firstLine="708"/>
      </w:pPr>
      <w:r>
        <w:rPr>
          <w:rFonts w:cs="Times New Roman"/>
          <w:lang w:eastAsia="en-US"/>
        </w:rPr>
        <w:t>Convém ressaltar que atualmente os alunos que possuem bolsa d</w:t>
      </w:r>
      <w:r w:rsidR="000E0EC2">
        <w:rPr>
          <w:rFonts w:cs="Times New Roman"/>
          <w:lang w:eastAsia="en-US"/>
        </w:rPr>
        <w:t>e permanência estão ligados ao p</w:t>
      </w:r>
      <w:r>
        <w:rPr>
          <w:rFonts w:cs="Times New Roman"/>
          <w:lang w:eastAsia="en-US"/>
        </w:rPr>
        <w:t>rograma, mas existem vários colegas, não bolsistas, que comparecem a todos os encontros. As declarações dos mesmos nos permitem</w:t>
      </w:r>
      <w:r w:rsidR="000E0EC2">
        <w:rPr>
          <w:rFonts w:cs="Times New Roman"/>
          <w:lang w:eastAsia="en-US"/>
        </w:rPr>
        <w:t xml:space="preserve"> dizer que o projeto incentiva </w:t>
      </w:r>
      <w:r>
        <w:rPr>
          <w:rFonts w:cs="Times New Roman"/>
          <w:lang w:eastAsia="en-US"/>
        </w:rPr>
        <w:t>os alunos ao estudo.</w:t>
      </w:r>
    </w:p>
    <w:p w:rsidR="00FB1D05" w:rsidRDefault="00B46B4F">
      <w:pPr>
        <w:pStyle w:val="Ttulodaseoprimria"/>
        <w:rPr>
          <w:sz w:val="24"/>
        </w:rPr>
      </w:pPr>
      <w:r>
        <w:rPr>
          <w:sz w:val="24"/>
        </w:rPr>
        <w:t>5</w:t>
      </w:r>
      <w:r w:rsidR="000E0EC2">
        <w:rPr>
          <w:sz w:val="24"/>
        </w:rPr>
        <w:t>.</w:t>
      </w:r>
      <w:r>
        <w:rPr>
          <w:sz w:val="24"/>
        </w:rPr>
        <w:t xml:space="preserve"> CONSIDERAÇÕES FINAIS</w:t>
      </w:r>
    </w:p>
    <w:p w:rsidR="00FB1D05" w:rsidRDefault="00FB1D05">
      <w:pPr>
        <w:pStyle w:val="Ttulodaseoprimria"/>
        <w:rPr>
          <w:sz w:val="24"/>
        </w:rPr>
      </w:pPr>
    </w:p>
    <w:p w:rsidR="00FB1D05" w:rsidRDefault="004816E5">
      <w:r>
        <w:t xml:space="preserve">Ainda dentro do programa, estendemos as </w:t>
      </w:r>
      <w:r w:rsidR="000E0EC2">
        <w:t>idéias</w:t>
      </w:r>
      <w:r>
        <w:t xml:space="preserve"> para atender acadêmicos da Engenharia, junto ao Programa de Apoio Pedagógico. Nesta modalidade</w:t>
      </w:r>
      <w:r w:rsidR="00D44322">
        <w:t xml:space="preserve">, as práticas experimentais têm maior peso. Para auxiliar nestas práticas, os próprios acadêmicos da Física participam, formando um ciclo de prática, criando um programa de fomento à monitoria. </w:t>
      </w:r>
    </w:p>
    <w:p w:rsidR="00FB1D05" w:rsidRDefault="00FB1D05"/>
    <w:p w:rsidR="00FB1D05" w:rsidRDefault="00B46B4F">
      <w:pPr>
        <w:pStyle w:val="Ttulodaseoprimria"/>
        <w:jc w:val="left"/>
      </w:pPr>
      <w:r>
        <w:t>REFERÊNCIAS</w:t>
      </w:r>
    </w:p>
    <w:p w:rsidR="00FB1D05" w:rsidRDefault="00FB1D05"/>
    <w:p w:rsidR="00FB1D05" w:rsidRDefault="00D44322">
      <w:pPr>
        <w:ind w:firstLine="0"/>
        <w:rPr>
          <w:sz w:val="22"/>
        </w:rPr>
      </w:pPr>
      <w:r>
        <w:rPr>
          <w:sz w:val="22"/>
        </w:rPr>
        <w:t xml:space="preserve">HEWITT, P. </w:t>
      </w:r>
      <w:r>
        <w:rPr>
          <w:b/>
          <w:sz w:val="22"/>
        </w:rPr>
        <w:t xml:space="preserve">Física Conceitual. </w:t>
      </w:r>
      <w:r>
        <w:rPr>
          <w:sz w:val="22"/>
        </w:rPr>
        <w:t xml:space="preserve"> 11ª Ed. Porto Alegre, Bookman. 2011. 685 p.</w:t>
      </w:r>
    </w:p>
    <w:p w:rsidR="00D44322" w:rsidRDefault="00D44322">
      <w:pPr>
        <w:ind w:firstLine="0"/>
        <w:rPr>
          <w:sz w:val="22"/>
        </w:rPr>
      </w:pPr>
    </w:p>
    <w:p w:rsidR="00D44322" w:rsidRDefault="00D44322" w:rsidP="00D44322">
      <w:pPr>
        <w:pStyle w:val="Leyendadefiguraotabla"/>
        <w:spacing w:before="0" w:after="0"/>
        <w:ind w:firstLine="0"/>
        <w:jc w:val="both"/>
      </w:pPr>
      <w:r>
        <w:rPr>
          <w:i w:val="0"/>
          <w:sz w:val="22"/>
          <w:szCs w:val="22"/>
          <w:lang w:val="pt-BR"/>
        </w:rPr>
        <w:t xml:space="preserve">MELO, F. R. </w:t>
      </w:r>
      <w:r>
        <w:rPr>
          <w:sz w:val="22"/>
          <w:szCs w:val="22"/>
          <w:lang w:val="pt-BR"/>
        </w:rPr>
        <w:t xml:space="preserve">A construção no Ensino Superior pela reconstrução da docência na área de Ciências Exatas. </w:t>
      </w:r>
      <w:r>
        <w:rPr>
          <w:i w:val="0"/>
          <w:sz w:val="22"/>
          <w:szCs w:val="22"/>
          <w:lang w:val="pt-BR"/>
        </w:rPr>
        <w:t xml:space="preserve">Anuário da Produção Acadêmica Docente. Anhanguera, v. 3, n. 4. </w:t>
      </w:r>
      <w:r w:rsidR="0004140F">
        <w:rPr>
          <w:i w:val="0"/>
          <w:sz w:val="22"/>
          <w:szCs w:val="22"/>
          <w:lang w:val="pt-BR"/>
        </w:rPr>
        <w:t>p.</w:t>
      </w:r>
      <w:r>
        <w:rPr>
          <w:i w:val="0"/>
          <w:sz w:val="22"/>
          <w:szCs w:val="22"/>
          <w:lang w:val="pt-BR"/>
        </w:rPr>
        <w:t xml:space="preserve"> 195. 2009.</w:t>
      </w:r>
    </w:p>
    <w:p w:rsidR="00D44322" w:rsidRPr="00D44322" w:rsidRDefault="00D44322">
      <w:pPr>
        <w:ind w:firstLine="0"/>
        <w:rPr>
          <w:sz w:val="22"/>
        </w:rPr>
      </w:pPr>
    </w:p>
    <w:sectPr w:rsidR="00D44322" w:rsidRPr="00D44322" w:rsidSect="00FB1D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9B" w:rsidRDefault="00202E9B" w:rsidP="00DC67B7">
      <w:r>
        <w:separator/>
      </w:r>
    </w:p>
  </w:endnote>
  <w:endnote w:type="continuationSeparator" w:id="1">
    <w:p w:rsidR="00202E9B" w:rsidRDefault="00202E9B" w:rsidP="00DC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05" w:rsidRDefault="00FB1D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05" w:rsidRDefault="00FB1D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9B" w:rsidRDefault="00202E9B" w:rsidP="00DC67B7">
      <w:r>
        <w:separator/>
      </w:r>
    </w:p>
  </w:footnote>
  <w:footnote w:type="continuationSeparator" w:id="1">
    <w:p w:rsidR="00202E9B" w:rsidRDefault="00202E9B" w:rsidP="00DC6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05" w:rsidRDefault="00B46B4F">
    <w:pPr>
      <w:pStyle w:val="Cabealho"/>
      <w:jc w:val="center"/>
      <w:rPr>
        <w:rStyle w:val="Forte"/>
        <w:b w:val="0"/>
        <w:sz w:val="20"/>
        <w:szCs w:val="20"/>
      </w:rPr>
    </w:pPr>
    <w:r>
      <w:rPr>
        <w:rStyle w:val="Forte"/>
      </w:rPr>
      <w:t>13ª Mostra da Produção Universitária</w:t>
    </w:r>
  </w:p>
  <w:p w:rsidR="00FB1D05" w:rsidRDefault="00B46B4F">
    <w:pPr>
      <w:pStyle w:val="Cabealho"/>
      <w:jc w:val="left"/>
      <w:rPr>
        <w:rStyle w:val="Forte"/>
        <w:rFonts w:eastAsia="Arial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B1D05" w:rsidRDefault="00B46B4F">
    <w:pPr>
      <w:pStyle w:val="Cabealho"/>
      <w:jc w:val="left"/>
    </w:pPr>
    <w:r>
      <w:rPr>
        <w:rStyle w:val="Forte"/>
        <w:rFonts w:eastAsia="Arial"/>
        <w:b w:val="0"/>
        <w:sz w:val="20"/>
        <w:szCs w:val="20"/>
      </w:rPr>
      <w:t xml:space="preserve">                                       </w:t>
    </w:r>
    <w:r>
      <w:rPr>
        <w:rStyle w:val="Forte"/>
        <w:b w:val="0"/>
        <w:sz w:val="18"/>
        <w:szCs w:val="20"/>
      </w:rPr>
      <w:t>Rio Grande/RS, Brasil, 14 a 17 de outubro de 2014.</w:t>
    </w:r>
  </w:p>
  <w:p w:rsidR="00FB1D05" w:rsidRDefault="00FB1D05">
    <w:pPr>
      <w:pStyle w:val="Cabealho"/>
      <w:jc w:val="left"/>
    </w:pPr>
  </w:p>
  <w:p w:rsidR="00FB1D05" w:rsidRDefault="00FB1D05">
    <w:pPr>
      <w:pStyle w:val="Cabealh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05" w:rsidRDefault="00FB1D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AEF"/>
    <w:rsid w:val="0004140F"/>
    <w:rsid w:val="000E0EC2"/>
    <w:rsid w:val="00202E9B"/>
    <w:rsid w:val="00377BBD"/>
    <w:rsid w:val="0038255B"/>
    <w:rsid w:val="004816E5"/>
    <w:rsid w:val="00585A2C"/>
    <w:rsid w:val="00711D2C"/>
    <w:rsid w:val="00784C3C"/>
    <w:rsid w:val="007D5832"/>
    <w:rsid w:val="008E1A44"/>
    <w:rsid w:val="008F0A46"/>
    <w:rsid w:val="008F2196"/>
    <w:rsid w:val="00937A2D"/>
    <w:rsid w:val="00B41A9A"/>
    <w:rsid w:val="00B46B4F"/>
    <w:rsid w:val="00CA6AEF"/>
    <w:rsid w:val="00CF5B63"/>
    <w:rsid w:val="00D44322"/>
    <w:rsid w:val="00DC374C"/>
    <w:rsid w:val="00E45210"/>
    <w:rsid w:val="00F41A88"/>
    <w:rsid w:val="00F624E8"/>
    <w:rsid w:val="00FB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5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B1D05"/>
  </w:style>
  <w:style w:type="character" w:customStyle="1" w:styleId="TextodebaloChar">
    <w:name w:val="Texto de balão Char"/>
    <w:rsid w:val="00FB1D0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FB1D05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TtuloChar">
    <w:name w:val="Título Char"/>
    <w:rsid w:val="00FB1D05"/>
    <w:rPr>
      <w:rFonts w:ascii="Arial" w:eastAsia="Times New Roman" w:hAnsi="Arial" w:cs="Times New Roman"/>
      <w:b/>
      <w:bCs/>
      <w:caps/>
      <w:kern w:val="1"/>
      <w:sz w:val="28"/>
      <w:szCs w:val="32"/>
    </w:rPr>
  </w:style>
  <w:style w:type="character" w:styleId="Hyperlink">
    <w:name w:val="Hyperlink"/>
    <w:rsid w:val="00FB1D05"/>
    <w:rPr>
      <w:color w:val="0000FF"/>
      <w:u w:val="single"/>
    </w:rPr>
  </w:style>
  <w:style w:type="character" w:customStyle="1" w:styleId="CabealhoChar">
    <w:name w:val="Cabeçalho Char"/>
    <w:rsid w:val="00FB1D05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RodapChar">
    <w:name w:val="Rodapé Char"/>
    <w:rsid w:val="00FB1D05"/>
    <w:rPr>
      <w:rFonts w:ascii="Arial" w:eastAsia="Arial Unicode MS" w:hAnsi="Arial" w:cs="Times New Roman"/>
      <w:kern w:val="1"/>
      <w:sz w:val="24"/>
      <w:szCs w:val="24"/>
    </w:rPr>
  </w:style>
  <w:style w:type="character" w:styleId="Forte">
    <w:name w:val="Strong"/>
    <w:qFormat/>
    <w:rsid w:val="00FB1D05"/>
    <w:rPr>
      <w:b/>
      <w:bCs/>
    </w:rPr>
  </w:style>
  <w:style w:type="character" w:customStyle="1" w:styleId="TextodenotadefimChar">
    <w:name w:val="Texto de nota de fim Char"/>
    <w:basedOn w:val="Fontepargpadro1"/>
    <w:rsid w:val="00FB1D05"/>
    <w:rPr>
      <w:rFonts w:ascii="Arial" w:eastAsia="Arial Unicode MS" w:hAnsi="Arial" w:cs="Arial"/>
      <w:kern w:val="1"/>
    </w:rPr>
  </w:style>
  <w:style w:type="character" w:customStyle="1" w:styleId="Caracteresdenotadefim">
    <w:name w:val="Caracteres de nota de fim"/>
    <w:basedOn w:val="Fontepargpadro1"/>
    <w:rsid w:val="00FB1D05"/>
    <w:rPr>
      <w:vertAlign w:val="superscript"/>
    </w:rPr>
  </w:style>
  <w:style w:type="character" w:customStyle="1" w:styleId="TextodenotaderodapChar">
    <w:name w:val="Texto de nota de rodapé Char"/>
    <w:basedOn w:val="Fontepargpadro1"/>
    <w:rsid w:val="00FB1D05"/>
    <w:rPr>
      <w:rFonts w:ascii="Arial" w:eastAsia="Arial Unicode MS" w:hAnsi="Arial" w:cs="Arial"/>
      <w:kern w:val="1"/>
    </w:rPr>
  </w:style>
  <w:style w:type="character" w:customStyle="1" w:styleId="Caracteresdenotaderodap">
    <w:name w:val="Caracteres de nota de rodapé"/>
    <w:basedOn w:val="Fontepargpadro1"/>
    <w:rsid w:val="00FB1D05"/>
    <w:rPr>
      <w:vertAlign w:val="superscript"/>
    </w:rPr>
  </w:style>
  <w:style w:type="character" w:customStyle="1" w:styleId="Fontepargpadro2">
    <w:name w:val="Fonte parág. padrão2"/>
    <w:rsid w:val="00FB1D05"/>
  </w:style>
  <w:style w:type="paragraph" w:customStyle="1" w:styleId="Ttulo1">
    <w:name w:val="Título1"/>
    <w:basedOn w:val="Normal"/>
    <w:next w:val="Normal"/>
    <w:rsid w:val="00FB1D05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styleId="Corpodetexto">
    <w:name w:val="Body Text"/>
    <w:basedOn w:val="Normal"/>
    <w:rsid w:val="00FB1D05"/>
    <w:pPr>
      <w:spacing w:after="120"/>
    </w:pPr>
  </w:style>
  <w:style w:type="paragraph" w:styleId="Lista">
    <w:name w:val="List"/>
    <w:basedOn w:val="Corpodetexto"/>
    <w:rsid w:val="00FB1D05"/>
    <w:rPr>
      <w:rFonts w:cs="Mangal"/>
    </w:rPr>
  </w:style>
  <w:style w:type="paragraph" w:styleId="Legenda">
    <w:name w:val="caption"/>
    <w:basedOn w:val="Normal"/>
    <w:qFormat/>
    <w:rsid w:val="00FB1D0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B1D05"/>
    <w:pPr>
      <w:suppressLineNumbers/>
    </w:pPr>
    <w:rPr>
      <w:rFonts w:cs="Mangal"/>
    </w:rPr>
  </w:style>
  <w:style w:type="paragraph" w:styleId="Textodebalo">
    <w:name w:val="Balloon Text"/>
    <w:basedOn w:val="Normal"/>
    <w:rsid w:val="00FB1D05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Normal"/>
    <w:rsid w:val="00FB1D05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rsid w:val="00FB1D05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rsid w:val="00FB1D05"/>
    <w:pPr>
      <w:widowControl/>
      <w:spacing w:before="120" w:after="360"/>
      <w:jc w:val="center"/>
    </w:pPr>
    <w:rPr>
      <w:rFonts w:eastAsia="Times New Roman"/>
      <w:i/>
      <w:sz w:val="18"/>
      <w:lang w:val="es-ES_tradnl"/>
    </w:rPr>
  </w:style>
  <w:style w:type="paragraph" w:customStyle="1" w:styleId="Tabla-Texto">
    <w:name w:val="Tabla-Texto"/>
    <w:basedOn w:val="Normal"/>
    <w:rsid w:val="00FB1D05"/>
    <w:pPr>
      <w:widowControl/>
      <w:spacing w:before="20" w:after="20"/>
    </w:pPr>
    <w:rPr>
      <w:rFonts w:eastAsia="Times New Roman"/>
      <w:sz w:val="18"/>
      <w:lang w:val="es-ES_tradnl"/>
    </w:rPr>
  </w:style>
  <w:style w:type="paragraph" w:styleId="Cabealho">
    <w:name w:val="header"/>
    <w:basedOn w:val="Normal"/>
    <w:rsid w:val="00FB1D05"/>
  </w:style>
  <w:style w:type="paragraph" w:styleId="Rodap">
    <w:name w:val="footer"/>
    <w:basedOn w:val="Normal"/>
    <w:rsid w:val="00FB1D05"/>
  </w:style>
  <w:style w:type="paragraph" w:styleId="Textodenotadefim">
    <w:name w:val="endnote text"/>
    <w:basedOn w:val="Normal"/>
    <w:rsid w:val="00FB1D05"/>
    <w:rPr>
      <w:sz w:val="20"/>
      <w:szCs w:val="20"/>
    </w:rPr>
  </w:style>
  <w:style w:type="paragraph" w:styleId="Textodenotaderodap">
    <w:name w:val="footnote text"/>
    <w:basedOn w:val="Normal"/>
    <w:rsid w:val="00FB1D05"/>
    <w:rPr>
      <w:sz w:val="20"/>
      <w:szCs w:val="20"/>
    </w:rPr>
  </w:style>
  <w:style w:type="paragraph" w:customStyle="1" w:styleId="Contedodatabela">
    <w:name w:val="Conteúdo da tabela"/>
    <w:basedOn w:val="Normal"/>
    <w:rsid w:val="00FB1D05"/>
    <w:pPr>
      <w:suppressLineNumbers/>
    </w:pPr>
  </w:style>
  <w:style w:type="paragraph" w:customStyle="1" w:styleId="Ttulodetabela">
    <w:name w:val="Título de tabela"/>
    <w:basedOn w:val="Contedodatabela"/>
    <w:rsid w:val="00FB1D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elo_resumo_mpu.%202014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modelo_resumo_mpu. 2014 doc</Template>
  <TotalTime>51</TotalTime>
  <Pages>2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</dc:creator>
  <cp:lastModifiedBy>Daniele Gonçalves Mesquita</cp:lastModifiedBy>
  <cp:revision>8</cp:revision>
  <cp:lastPrinted>2013-05-31T18:34:00Z</cp:lastPrinted>
  <dcterms:created xsi:type="dcterms:W3CDTF">2014-07-09T20:23:00Z</dcterms:created>
  <dcterms:modified xsi:type="dcterms:W3CDTF">2014-09-08T23:09:00Z</dcterms:modified>
</cp:coreProperties>
</file>