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AB" w:rsidRPr="004615AB" w:rsidRDefault="004615AB" w:rsidP="004615A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CRESCIMENTO</w:t>
      </w:r>
      <w:r w:rsidRPr="004615AB">
        <w:rPr>
          <w:rFonts w:cs="Arial"/>
          <w:b/>
        </w:rPr>
        <w:t xml:space="preserve"> DO PEIXE-PALHAÇO, </w:t>
      </w:r>
      <w:proofErr w:type="spellStart"/>
      <w:r w:rsidRPr="004615AB">
        <w:rPr>
          <w:rFonts w:cs="Arial"/>
          <w:b/>
          <w:i/>
        </w:rPr>
        <w:t>Amphiprion</w:t>
      </w:r>
      <w:proofErr w:type="spellEnd"/>
      <w:r w:rsidRPr="004615AB">
        <w:rPr>
          <w:rFonts w:cs="Arial"/>
          <w:b/>
          <w:i/>
        </w:rPr>
        <w:t xml:space="preserve"> </w:t>
      </w:r>
      <w:proofErr w:type="spellStart"/>
      <w:r w:rsidRPr="004615AB">
        <w:rPr>
          <w:rFonts w:cs="Arial"/>
          <w:b/>
          <w:i/>
        </w:rPr>
        <w:t>ocellaris</w:t>
      </w:r>
      <w:proofErr w:type="spellEnd"/>
      <w:r w:rsidR="0048322C">
        <w:rPr>
          <w:rFonts w:cs="Arial"/>
          <w:b/>
          <w:i/>
        </w:rPr>
        <w:t xml:space="preserve"> </w:t>
      </w:r>
      <w:r w:rsidR="0048322C" w:rsidRPr="00CD1774">
        <w:rPr>
          <w:rFonts w:cs="Arial"/>
          <w:b/>
        </w:rPr>
        <w:t>(variedade</w:t>
      </w:r>
      <w:r w:rsidR="0048322C">
        <w:rPr>
          <w:rFonts w:cs="Arial"/>
          <w:b/>
          <w:i/>
        </w:rPr>
        <w:t xml:space="preserve"> </w:t>
      </w:r>
      <w:r w:rsidR="005B733A" w:rsidRPr="005B733A">
        <w:rPr>
          <w:rFonts w:cs="Arial"/>
          <w:b/>
        </w:rPr>
        <w:t>Black</w:t>
      </w:r>
      <w:r w:rsidR="0048322C">
        <w:rPr>
          <w:rFonts w:cs="Arial"/>
          <w:b/>
        </w:rPr>
        <w:t>)</w:t>
      </w:r>
      <w:r w:rsidR="00CD1774">
        <w:rPr>
          <w:rFonts w:cs="Arial"/>
          <w:b/>
        </w:rPr>
        <w:t>,</w:t>
      </w:r>
      <w:r w:rsidRPr="004615AB">
        <w:rPr>
          <w:rFonts w:cs="Arial"/>
          <w:b/>
        </w:rPr>
        <w:t xml:space="preserve"> EM DIFERENTES SALINIDADES DE ÁGUA MARINHA ARTIFICIAL.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Default="004615AB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CARNEIRO, Mario Davi Dias</w:t>
      </w:r>
    </w:p>
    <w:p w:rsidR="004615AB" w:rsidRDefault="004615AB" w:rsidP="004615A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 xml:space="preserve">MEDEIROS, Rafael </w:t>
      </w:r>
      <w:proofErr w:type="spellStart"/>
      <w:r>
        <w:rPr>
          <w:rFonts w:cs="Arial"/>
          <w:b/>
        </w:rPr>
        <w:t>Soriani</w:t>
      </w:r>
      <w:proofErr w:type="spellEnd"/>
    </w:p>
    <w:p w:rsidR="007F4921" w:rsidRDefault="007F4921" w:rsidP="004615A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RODRIGUEZ, Ricardo Vieira</w:t>
      </w:r>
    </w:p>
    <w:p w:rsidR="00C47B84" w:rsidRPr="00FA1C48" w:rsidRDefault="004615AB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SAMPAIO, Luís André</w:t>
      </w:r>
    </w:p>
    <w:p w:rsidR="004615AB" w:rsidRDefault="009D3CF8" w:rsidP="00A771C1">
      <w:pPr>
        <w:ind w:firstLine="0"/>
        <w:jc w:val="right"/>
        <w:rPr>
          <w:rFonts w:cs="Arial"/>
          <w:b/>
        </w:rPr>
      </w:pPr>
      <w:hyperlink r:id="rId7" w:history="1">
        <w:r w:rsidR="004615AB" w:rsidRPr="005D6F46">
          <w:rPr>
            <w:rStyle w:val="Hyperlink"/>
            <w:rFonts w:cs="Arial"/>
            <w:b/>
          </w:rPr>
          <w:t>marioiddc@gmail.com</w:t>
        </w:r>
      </w:hyperlink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520FB9" w:rsidRPr="00FA1C48" w:rsidRDefault="00520FB9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 w:rsidR="00847DF1">
        <w:rPr>
          <w:rFonts w:cs="Arial"/>
          <w:b/>
        </w:rPr>
        <w:t>Encontro de Pós-Graduação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Pr="00FA1C48">
        <w:rPr>
          <w:rFonts w:cs="Arial"/>
          <w:b/>
        </w:rPr>
        <w:t xml:space="preserve">: </w:t>
      </w:r>
      <w:r w:rsidR="00847DF1">
        <w:rPr>
          <w:rFonts w:cs="Arial"/>
          <w:b/>
        </w:rPr>
        <w:t>Aquicultura</w:t>
      </w: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C341B4" w:rsidRPr="00FA1C48" w:rsidRDefault="009F1118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847DF1" w:rsidRPr="00847DF1">
        <w:rPr>
          <w:rFonts w:cs="Arial"/>
        </w:rPr>
        <w:t>Aquariofilia, piscicultura ornamental</w:t>
      </w:r>
      <w:r w:rsidR="00847DF1">
        <w:rPr>
          <w:rFonts w:cs="Arial"/>
        </w:rPr>
        <w:t xml:space="preserve">; </w:t>
      </w:r>
      <w:r w:rsidR="00847DF1" w:rsidRPr="007F4921">
        <w:rPr>
          <w:rFonts w:cs="Arial"/>
        </w:rPr>
        <w:t>economia.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FA1C48" w:rsidRDefault="0082219D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8D7A61" w:rsidRDefault="008D7A61" w:rsidP="008D7A61">
      <w:pPr>
        <w:rPr>
          <w:rFonts w:cs="Arial"/>
        </w:rPr>
      </w:pPr>
      <w:r w:rsidRPr="008D7A61">
        <w:rPr>
          <w:rFonts w:cs="Arial"/>
        </w:rPr>
        <w:t>O peixe-palhaço</w:t>
      </w:r>
      <w:r w:rsidR="00364D0F">
        <w:rPr>
          <w:rFonts w:cs="Arial"/>
        </w:rPr>
        <w:t>,</w:t>
      </w:r>
      <w:r w:rsidRPr="008D7A61">
        <w:rPr>
          <w:rFonts w:cs="Arial"/>
        </w:rPr>
        <w:t xml:space="preserve"> </w:t>
      </w:r>
      <w:proofErr w:type="spellStart"/>
      <w:r w:rsidRPr="008D7A61">
        <w:rPr>
          <w:rFonts w:cs="Arial"/>
          <w:i/>
        </w:rPr>
        <w:t>Amphiprion</w:t>
      </w:r>
      <w:proofErr w:type="spellEnd"/>
      <w:r w:rsidRPr="008D7A61">
        <w:rPr>
          <w:rFonts w:cs="Arial"/>
          <w:i/>
        </w:rPr>
        <w:t xml:space="preserve"> </w:t>
      </w:r>
      <w:proofErr w:type="spellStart"/>
      <w:r w:rsidRPr="008D7A61">
        <w:rPr>
          <w:rFonts w:cs="Arial"/>
          <w:i/>
        </w:rPr>
        <w:t>ocellaris</w:t>
      </w:r>
      <w:proofErr w:type="spellEnd"/>
      <w:r w:rsidR="00364D0F">
        <w:rPr>
          <w:rFonts w:cs="Arial"/>
        </w:rPr>
        <w:t>,</w:t>
      </w:r>
      <w:r w:rsidRPr="008D7A61">
        <w:rPr>
          <w:rFonts w:cs="Arial"/>
        </w:rPr>
        <w:t xml:space="preserve"> é um ornamental marinho </w:t>
      </w:r>
      <w:r w:rsidR="00710A35">
        <w:rPr>
          <w:rFonts w:cs="Arial"/>
        </w:rPr>
        <w:t>importante</w:t>
      </w:r>
      <w:r w:rsidRPr="008D7A61">
        <w:rPr>
          <w:rFonts w:cs="Arial"/>
        </w:rPr>
        <w:t xml:space="preserve"> no mercado da aquariofilia</w:t>
      </w:r>
      <w:r w:rsidR="00710A35">
        <w:rPr>
          <w:rFonts w:cs="Arial"/>
        </w:rPr>
        <w:t xml:space="preserve">, expondo </w:t>
      </w:r>
      <w:r w:rsidRPr="008D7A61">
        <w:rPr>
          <w:rFonts w:cs="Arial"/>
        </w:rPr>
        <w:t>grande pot</w:t>
      </w:r>
      <w:r w:rsidR="003F71F9">
        <w:rPr>
          <w:rFonts w:cs="Arial"/>
        </w:rPr>
        <w:t xml:space="preserve">encial econômico. </w:t>
      </w:r>
      <w:r w:rsidR="003F71F9" w:rsidRPr="008D7A61">
        <w:rPr>
          <w:rFonts w:cs="Arial"/>
        </w:rPr>
        <w:t xml:space="preserve">Segundo </w:t>
      </w:r>
      <w:r w:rsidR="003F71F9" w:rsidRPr="003F71F9">
        <w:rPr>
          <w:rFonts w:cs="Arial"/>
        </w:rPr>
        <w:t xml:space="preserve">Ribeiro </w:t>
      </w:r>
      <w:proofErr w:type="spellStart"/>
      <w:proofErr w:type="gramStart"/>
      <w:r w:rsidR="003F71F9" w:rsidRPr="003F71F9">
        <w:rPr>
          <w:rFonts w:cs="Arial"/>
          <w:i/>
        </w:rPr>
        <w:t>et</w:t>
      </w:r>
      <w:proofErr w:type="spellEnd"/>
      <w:proofErr w:type="gramEnd"/>
      <w:r w:rsidR="003F71F9" w:rsidRPr="003F71F9">
        <w:rPr>
          <w:rFonts w:cs="Arial"/>
          <w:i/>
        </w:rPr>
        <w:t xml:space="preserve"> al.</w:t>
      </w:r>
      <w:r w:rsidR="00A669A7">
        <w:rPr>
          <w:rFonts w:cs="Arial"/>
          <w:i/>
        </w:rPr>
        <w:t xml:space="preserve"> </w:t>
      </w:r>
      <w:r w:rsidR="003F71F9" w:rsidRPr="003F71F9">
        <w:rPr>
          <w:rFonts w:cs="Arial"/>
        </w:rPr>
        <w:t>(2007</w:t>
      </w:r>
      <w:r w:rsidR="003F71F9" w:rsidRPr="008D7A61">
        <w:rPr>
          <w:rFonts w:cs="Arial"/>
        </w:rPr>
        <w:t>), o setor de peixes ornamentais é um componente significativo do comércio internacional, sendo que a importância des</w:t>
      </w:r>
      <w:r w:rsidR="00A669A7">
        <w:rPr>
          <w:rFonts w:cs="Arial"/>
        </w:rPr>
        <w:t>s</w:t>
      </w:r>
      <w:r w:rsidR="003F71F9" w:rsidRPr="008D7A61">
        <w:rPr>
          <w:rFonts w:cs="Arial"/>
        </w:rPr>
        <w:t>a indústria está no grande potencial em contribuir para o desenvolvimento sustentável</w:t>
      </w:r>
      <w:r w:rsidR="006949A9">
        <w:rPr>
          <w:rFonts w:cs="Arial"/>
        </w:rPr>
        <w:t xml:space="preserve"> </w:t>
      </w:r>
      <w:r w:rsidR="000413A6">
        <w:rPr>
          <w:rFonts w:cs="Arial"/>
        </w:rPr>
        <w:t>da aquicultura, através da geração de renda e diminuição da pressão sob estoques naturais</w:t>
      </w:r>
      <w:r w:rsidRPr="008D7A61">
        <w:rPr>
          <w:rFonts w:cs="Arial"/>
        </w:rPr>
        <w:t>. A aquicultura marinha ornamental difere da de corte no fato de não ser majoritariamente praticada em áreas litorâneas</w:t>
      </w:r>
      <w:r w:rsidR="003F71F9" w:rsidRPr="003F71F9">
        <w:rPr>
          <w:rFonts w:cs="Arial"/>
        </w:rPr>
        <w:t xml:space="preserve"> </w:t>
      </w:r>
      <w:r w:rsidR="003F71F9" w:rsidRPr="008D7A61">
        <w:rPr>
          <w:rFonts w:cs="Arial"/>
        </w:rPr>
        <w:t xml:space="preserve">principalmente </w:t>
      </w:r>
      <w:r w:rsidR="00710A35">
        <w:rPr>
          <w:rFonts w:cs="Arial"/>
        </w:rPr>
        <w:t>por sua produção em baixa escala</w:t>
      </w:r>
      <w:r w:rsidR="003F71F9" w:rsidRPr="003F71F9">
        <w:rPr>
          <w:rFonts w:cs="Arial"/>
        </w:rPr>
        <w:t xml:space="preserve"> (</w:t>
      </w:r>
      <w:r w:rsidR="004D0223" w:rsidRPr="003F71F9">
        <w:rPr>
          <w:rFonts w:cs="Arial"/>
        </w:rPr>
        <w:t>TLUSTY,</w:t>
      </w:r>
      <w:r w:rsidR="003F71F9" w:rsidRPr="003F71F9">
        <w:rPr>
          <w:rFonts w:cs="Arial"/>
        </w:rPr>
        <w:t xml:space="preserve"> 2002)</w:t>
      </w:r>
      <w:r w:rsidRPr="008D7A61">
        <w:rPr>
          <w:rFonts w:cs="Arial"/>
        </w:rPr>
        <w:t xml:space="preserve">. </w:t>
      </w:r>
      <w:r w:rsidR="00364D0F">
        <w:rPr>
          <w:rFonts w:cs="Arial"/>
        </w:rPr>
        <w:t>D</w:t>
      </w:r>
      <w:r w:rsidR="00364D0F" w:rsidRPr="008D7A61">
        <w:rPr>
          <w:rFonts w:cs="Arial"/>
        </w:rPr>
        <w:t>ados da Organização das Nações Unidas para Alimentação e Agricultura (FAO) demonstram que a aquicultura de peixes ornamentais é uma indústria promissora. No ano 2000 es</w:t>
      </w:r>
      <w:r w:rsidR="007D2241">
        <w:rPr>
          <w:rFonts w:cs="Arial"/>
        </w:rPr>
        <w:t>s</w:t>
      </w:r>
      <w:r w:rsidR="00364D0F" w:rsidRPr="008D7A61">
        <w:rPr>
          <w:rFonts w:cs="Arial"/>
        </w:rPr>
        <w:t xml:space="preserve">a atividade movimentou no atacado US$ 900 milhões e US$ 3 bilhões em valores de venda ao consumidor final </w:t>
      </w:r>
      <w:r w:rsidR="00364D0F" w:rsidRPr="00E9203E">
        <w:rPr>
          <w:rFonts w:cs="Arial"/>
        </w:rPr>
        <w:t>(FAO, 2007).</w:t>
      </w:r>
      <w:r w:rsidR="00364D0F">
        <w:rPr>
          <w:rFonts w:cs="Arial"/>
        </w:rPr>
        <w:t xml:space="preserve"> </w:t>
      </w:r>
      <w:r w:rsidRPr="008D7A61">
        <w:rPr>
          <w:rFonts w:cs="Arial"/>
        </w:rPr>
        <w:t xml:space="preserve">A produção de peixes ornamentais marinhos distante do litoral pode ser otimizada pelo uso de </w:t>
      </w:r>
      <w:r w:rsidR="008542A8">
        <w:rPr>
          <w:rFonts w:cs="Arial"/>
        </w:rPr>
        <w:t>água com salinidade reduzida, porém</w:t>
      </w:r>
      <w:r w:rsidRPr="008D7A61">
        <w:rPr>
          <w:rFonts w:cs="Arial"/>
        </w:rPr>
        <w:t xml:space="preserve"> informações do efeito da salinidade sobre o peixe palh</w:t>
      </w:r>
      <w:r w:rsidR="00364D0F">
        <w:rPr>
          <w:rFonts w:cs="Arial"/>
        </w:rPr>
        <w:t>aço são escassas</w:t>
      </w:r>
      <w:r w:rsidR="008542A8">
        <w:rPr>
          <w:rFonts w:cs="Arial"/>
        </w:rPr>
        <w:t>. Neste contexto</w:t>
      </w:r>
      <w:r w:rsidR="00364D0F">
        <w:rPr>
          <w:rFonts w:cs="Arial"/>
        </w:rPr>
        <w:t xml:space="preserve"> o objetivo desse trabalho foi avaliar a sobrevivência e o crescimento de juvenis do peixe palhaço </w:t>
      </w:r>
      <w:proofErr w:type="spellStart"/>
      <w:r w:rsidR="00364D0F" w:rsidRPr="008D7A61">
        <w:rPr>
          <w:rFonts w:cs="Arial"/>
          <w:i/>
        </w:rPr>
        <w:t>Amphiprion</w:t>
      </w:r>
      <w:proofErr w:type="spellEnd"/>
      <w:r w:rsidR="00364D0F" w:rsidRPr="008D7A61">
        <w:rPr>
          <w:rFonts w:cs="Arial"/>
          <w:i/>
        </w:rPr>
        <w:t xml:space="preserve"> </w:t>
      </w:r>
      <w:proofErr w:type="spellStart"/>
      <w:r w:rsidR="00364D0F" w:rsidRPr="008D7A61">
        <w:rPr>
          <w:rFonts w:cs="Arial"/>
          <w:i/>
        </w:rPr>
        <w:t>ocellaris</w:t>
      </w:r>
      <w:proofErr w:type="spellEnd"/>
      <w:r w:rsidR="00364D0F">
        <w:rPr>
          <w:rFonts w:cs="Arial"/>
        </w:rPr>
        <w:t xml:space="preserve"> criados em diferentes salinidades em água marinha artificial.</w:t>
      </w:r>
    </w:p>
    <w:p w:rsidR="009D0723" w:rsidRPr="00FA1C48" w:rsidRDefault="00A669A7" w:rsidP="00CD0046">
      <w:pPr>
        <w:pStyle w:val="Ttulodaseoprimria"/>
        <w:spacing w:before="240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82219D" w:rsidRPr="00FA1C48">
        <w:rPr>
          <w:rFonts w:cs="Arial"/>
          <w:sz w:val="24"/>
        </w:rPr>
        <w:t xml:space="preserve"> MATERIAIS E MÉTODOS</w:t>
      </w:r>
    </w:p>
    <w:p w:rsidR="009D0723" w:rsidRPr="00FA1C48" w:rsidRDefault="000B783F" w:rsidP="000701BB">
      <w:pPr>
        <w:tabs>
          <w:tab w:val="left" w:pos="8133"/>
        </w:tabs>
        <w:rPr>
          <w:rFonts w:cs="Arial"/>
        </w:rPr>
      </w:pPr>
      <w:r>
        <w:rPr>
          <w:rFonts w:cs="Arial"/>
        </w:rPr>
        <w:t>Foram utilizados q</w:t>
      </w:r>
      <w:r w:rsidRPr="000B783F">
        <w:rPr>
          <w:rFonts w:cs="Arial"/>
        </w:rPr>
        <w:t xml:space="preserve">uatro sistemas de recirculação </w:t>
      </w:r>
      <w:r>
        <w:rPr>
          <w:rFonts w:cs="Arial"/>
        </w:rPr>
        <w:t>com</w:t>
      </w:r>
      <w:r w:rsidRPr="000B783F">
        <w:rPr>
          <w:rFonts w:cs="Arial"/>
        </w:rPr>
        <w:t xml:space="preserve"> </w:t>
      </w:r>
      <w:r w:rsidR="00686C8D">
        <w:rPr>
          <w:rFonts w:cs="Arial"/>
        </w:rPr>
        <w:t>três</w:t>
      </w:r>
      <w:r w:rsidRPr="000B783F">
        <w:rPr>
          <w:rFonts w:cs="Arial"/>
        </w:rPr>
        <w:t xml:space="preserve"> tanques cilíndricos </w:t>
      </w:r>
      <w:r>
        <w:rPr>
          <w:rFonts w:cs="Arial"/>
        </w:rPr>
        <w:t>com 24</w:t>
      </w:r>
      <w:r w:rsidRPr="000B783F">
        <w:rPr>
          <w:rFonts w:cs="Arial"/>
        </w:rPr>
        <w:t xml:space="preserve"> L úteis, </w:t>
      </w:r>
      <w:r>
        <w:rPr>
          <w:rFonts w:cs="Arial"/>
        </w:rPr>
        <w:t xml:space="preserve">mais </w:t>
      </w:r>
      <w:r w:rsidRPr="000B783F">
        <w:rPr>
          <w:rFonts w:cs="Arial"/>
        </w:rPr>
        <w:t xml:space="preserve">um </w:t>
      </w:r>
      <w:r w:rsidR="00A669A7">
        <w:rPr>
          <w:rFonts w:cs="Arial"/>
        </w:rPr>
        <w:t>reservatório</w:t>
      </w:r>
      <w:r w:rsidR="00A669A7" w:rsidRPr="000B783F">
        <w:rPr>
          <w:rFonts w:cs="Arial"/>
        </w:rPr>
        <w:t xml:space="preserve"> </w:t>
      </w:r>
      <w:r w:rsidRPr="000B783F">
        <w:rPr>
          <w:rFonts w:cs="Arial"/>
        </w:rPr>
        <w:t xml:space="preserve">de 120 L </w:t>
      </w:r>
      <w:r w:rsidR="00A669A7">
        <w:rPr>
          <w:rFonts w:cs="Arial"/>
        </w:rPr>
        <w:t xml:space="preserve">com filtro biológico e </w:t>
      </w:r>
      <w:r w:rsidRPr="000B783F">
        <w:rPr>
          <w:rFonts w:cs="Arial"/>
        </w:rPr>
        <w:t xml:space="preserve">um </w:t>
      </w:r>
      <w:proofErr w:type="spellStart"/>
      <w:r w:rsidRPr="000B783F">
        <w:rPr>
          <w:rFonts w:cs="Arial"/>
        </w:rPr>
        <w:t>skimmer</w:t>
      </w:r>
      <w:proofErr w:type="spellEnd"/>
      <w:r w:rsidRPr="000B783F">
        <w:rPr>
          <w:rFonts w:cs="Arial"/>
        </w:rPr>
        <w:t>. Cada sistema</w:t>
      </w:r>
      <w:r>
        <w:rPr>
          <w:rFonts w:cs="Arial"/>
        </w:rPr>
        <w:t xml:space="preserve"> foi</w:t>
      </w:r>
      <w:r w:rsidRPr="000B783F">
        <w:rPr>
          <w:rFonts w:cs="Arial"/>
        </w:rPr>
        <w:t xml:space="preserve"> mantido nas salinidades </w:t>
      </w:r>
      <w:r w:rsidRPr="00686C8D">
        <w:rPr>
          <w:rFonts w:cs="Arial"/>
        </w:rPr>
        <w:t>5, 15, 25 e 35</w:t>
      </w:r>
      <w:r w:rsidR="007F4921" w:rsidRPr="00686C8D">
        <w:rPr>
          <w:rFonts w:cs="Arial"/>
        </w:rPr>
        <w:t>‰</w:t>
      </w:r>
      <w:r w:rsidRPr="00686C8D">
        <w:rPr>
          <w:rFonts w:cs="Arial"/>
        </w:rPr>
        <w:t>,</w:t>
      </w:r>
      <w:r w:rsidRPr="000B783F">
        <w:rPr>
          <w:rFonts w:cs="Arial"/>
        </w:rPr>
        <w:t xml:space="preserve"> obtidas através da salinização artificial da água com sal comercial para aquário (</w:t>
      </w:r>
      <w:proofErr w:type="spellStart"/>
      <w:r w:rsidRPr="000B783F">
        <w:rPr>
          <w:rFonts w:cs="Arial"/>
        </w:rPr>
        <w:t>Red</w:t>
      </w:r>
      <w:proofErr w:type="spellEnd"/>
      <w:r w:rsidRPr="000B783F">
        <w:rPr>
          <w:rFonts w:cs="Arial"/>
        </w:rPr>
        <w:t xml:space="preserve"> </w:t>
      </w:r>
      <w:proofErr w:type="spellStart"/>
      <w:r w:rsidRPr="000B783F">
        <w:rPr>
          <w:rFonts w:cs="Arial"/>
        </w:rPr>
        <w:t>Sea</w:t>
      </w:r>
      <w:proofErr w:type="spellEnd"/>
      <w:r w:rsidRPr="000B783F">
        <w:rPr>
          <w:rFonts w:cs="Arial"/>
        </w:rPr>
        <w:t xml:space="preserve">, EUA). Cada tanque do sistema representa uma réplica de cada salinidade. Para cada tratamento </w:t>
      </w:r>
      <w:r>
        <w:rPr>
          <w:rFonts w:cs="Arial"/>
        </w:rPr>
        <w:t>foram</w:t>
      </w:r>
      <w:r w:rsidRPr="000B783F">
        <w:rPr>
          <w:rFonts w:cs="Arial"/>
        </w:rPr>
        <w:t xml:space="preserve"> utilizados </w:t>
      </w:r>
      <w:r w:rsidR="00B35513">
        <w:rPr>
          <w:rFonts w:cs="Arial"/>
        </w:rPr>
        <w:t>39</w:t>
      </w:r>
      <w:r w:rsidRPr="000B783F">
        <w:rPr>
          <w:rFonts w:cs="Arial"/>
        </w:rPr>
        <w:t xml:space="preserve"> peixes</w:t>
      </w:r>
      <w:r w:rsidR="00F6231C">
        <w:rPr>
          <w:rFonts w:cs="Arial"/>
        </w:rPr>
        <w:t xml:space="preserve"> (</w:t>
      </w:r>
      <w:r w:rsidR="00F6231C" w:rsidRPr="00D862B6">
        <w:rPr>
          <w:rFonts w:cs="Arial"/>
        </w:rPr>
        <w:t>84</w:t>
      </w:r>
      <w:r w:rsidR="00F6231C">
        <w:rPr>
          <w:rFonts w:cs="Arial"/>
        </w:rPr>
        <w:t>,4±</w:t>
      </w:r>
      <w:r w:rsidR="00F6231C" w:rsidRPr="00D862B6">
        <w:rPr>
          <w:rFonts w:cs="Arial"/>
        </w:rPr>
        <w:t>25</w:t>
      </w:r>
      <w:r w:rsidR="00F6231C">
        <w:rPr>
          <w:rFonts w:cs="Arial"/>
        </w:rPr>
        <w:t>,</w:t>
      </w:r>
      <w:r w:rsidR="00F6231C" w:rsidRPr="00D862B6">
        <w:rPr>
          <w:rFonts w:cs="Arial"/>
        </w:rPr>
        <w:t xml:space="preserve">5 </w:t>
      </w:r>
      <w:proofErr w:type="spellStart"/>
      <w:proofErr w:type="gramStart"/>
      <w:r w:rsidR="00F6231C" w:rsidRPr="00D862B6">
        <w:rPr>
          <w:rFonts w:cs="Arial"/>
        </w:rPr>
        <w:t>mg</w:t>
      </w:r>
      <w:proofErr w:type="spellEnd"/>
      <w:proofErr w:type="gramEnd"/>
      <w:r w:rsidR="00F6231C">
        <w:rPr>
          <w:rFonts w:cs="Arial"/>
        </w:rPr>
        <w:t>)</w:t>
      </w:r>
      <w:r w:rsidRPr="000B783F">
        <w:rPr>
          <w:rFonts w:cs="Arial"/>
        </w:rPr>
        <w:t xml:space="preserve">, </w:t>
      </w:r>
      <w:r>
        <w:rPr>
          <w:rFonts w:cs="Arial"/>
        </w:rPr>
        <w:t>13</w:t>
      </w:r>
      <w:r w:rsidR="000701BB">
        <w:rPr>
          <w:rFonts w:cs="Arial"/>
        </w:rPr>
        <w:t xml:space="preserve"> por </w:t>
      </w:r>
      <w:r w:rsidR="00F6231C">
        <w:rPr>
          <w:rFonts w:cs="Arial"/>
        </w:rPr>
        <w:t>cada repetição</w:t>
      </w:r>
      <w:r w:rsidRPr="00D862B6">
        <w:rPr>
          <w:rFonts w:cs="Arial"/>
        </w:rPr>
        <w:t>.</w:t>
      </w:r>
      <w:r>
        <w:rPr>
          <w:rFonts w:cs="Arial"/>
        </w:rPr>
        <w:t xml:space="preserve"> A temperatura</w:t>
      </w:r>
      <w:r w:rsidR="000701BB">
        <w:rPr>
          <w:rFonts w:cs="Arial"/>
        </w:rPr>
        <w:t xml:space="preserve"> (27°C)</w:t>
      </w:r>
      <w:r w:rsidR="00FD5886">
        <w:rPr>
          <w:rFonts w:cs="Arial"/>
        </w:rPr>
        <w:t xml:space="preserve"> e</w:t>
      </w:r>
      <w:r>
        <w:rPr>
          <w:rFonts w:cs="Arial"/>
        </w:rPr>
        <w:t xml:space="preserve"> o</w:t>
      </w:r>
      <w:r w:rsidRPr="000B783F">
        <w:rPr>
          <w:rFonts w:cs="Arial"/>
        </w:rPr>
        <w:t xml:space="preserve"> </w:t>
      </w:r>
      <w:proofErr w:type="spellStart"/>
      <w:r w:rsidRPr="000B783F">
        <w:rPr>
          <w:rFonts w:cs="Arial"/>
        </w:rPr>
        <w:t>fotoperíodo</w:t>
      </w:r>
      <w:proofErr w:type="spellEnd"/>
      <w:r w:rsidR="000701BB">
        <w:rPr>
          <w:rFonts w:cs="Arial"/>
        </w:rPr>
        <w:t xml:space="preserve"> (</w:t>
      </w:r>
      <w:proofErr w:type="gramStart"/>
      <w:r w:rsidR="000701BB">
        <w:rPr>
          <w:rFonts w:cs="Arial"/>
        </w:rPr>
        <w:t>12L:</w:t>
      </w:r>
      <w:proofErr w:type="gramEnd"/>
      <w:r w:rsidR="000701BB">
        <w:rPr>
          <w:rFonts w:cs="Arial"/>
        </w:rPr>
        <w:t>12E)</w:t>
      </w:r>
      <w:r w:rsidRPr="000B783F">
        <w:rPr>
          <w:rFonts w:cs="Arial"/>
        </w:rPr>
        <w:t xml:space="preserve"> </w:t>
      </w:r>
      <w:r>
        <w:rPr>
          <w:rFonts w:cs="Arial"/>
        </w:rPr>
        <w:t>foram controlados</w:t>
      </w:r>
      <w:r w:rsidRPr="000B783F">
        <w:rPr>
          <w:rFonts w:cs="Arial"/>
        </w:rPr>
        <w:t>.</w:t>
      </w:r>
      <w:r w:rsidR="00686C8D">
        <w:rPr>
          <w:rFonts w:cs="Arial"/>
        </w:rPr>
        <w:t xml:space="preserve"> Diariamente foram </w:t>
      </w:r>
      <w:r w:rsidR="00EC5F3B">
        <w:rPr>
          <w:rFonts w:cs="Arial"/>
        </w:rPr>
        <w:t xml:space="preserve">medidos </w:t>
      </w:r>
      <w:r w:rsidR="00686C8D">
        <w:rPr>
          <w:rFonts w:cs="Arial"/>
        </w:rPr>
        <w:t xml:space="preserve">oxigênio dissolvido, </w:t>
      </w:r>
      <w:proofErr w:type="gramStart"/>
      <w:r w:rsidR="00686C8D">
        <w:rPr>
          <w:rFonts w:cs="Arial"/>
        </w:rPr>
        <w:t>pH</w:t>
      </w:r>
      <w:proofErr w:type="gramEnd"/>
      <w:r w:rsidR="00686C8D">
        <w:rPr>
          <w:rFonts w:cs="Arial"/>
        </w:rPr>
        <w:t>, alcalinidade</w:t>
      </w:r>
      <w:r w:rsidR="00EC5F3B">
        <w:rPr>
          <w:rFonts w:cs="Arial"/>
        </w:rPr>
        <w:t>,</w:t>
      </w:r>
      <w:r w:rsidR="00686C8D">
        <w:rPr>
          <w:rFonts w:cs="Arial"/>
        </w:rPr>
        <w:t xml:space="preserve"> </w:t>
      </w:r>
      <w:r w:rsidR="00EC5F3B">
        <w:rPr>
          <w:rFonts w:cs="Arial"/>
        </w:rPr>
        <w:t>amônia total</w:t>
      </w:r>
      <w:r w:rsidR="00686C8D">
        <w:rPr>
          <w:rFonts w:cs="Arial"/>
        </w:rPr>
        <w:t xml:space="preserve"> e nitrito, e semanalmente nitrato.</w:t>
      </w:r>
      <w:r w:rsidRPr="000B783F">
        <w:rPr>
          <w:rFonts w:cs="Arial"/>
        </w:rPr>
        <w:t xml:space="preserve"> Os peixes </w:t>
      </w:r>
      <w:r w:rsidR="000701BB">
        <w:rPr>
          <w:rFonts w:cs="Arial"/>
        </w:rPr>
        <w:t xml:space="preserve">foram </w:t>
      </w:r>
      <w:r w:rsidRPr="000B783F">
        <w:rPr>
          <w:rFonts w:cs="Arial"/>
        </w:rPr>
        <w:t>alimentados com ração comercial 3 vezes ao dia até a saciedade aparente.</w:t>
      </w:r>
      <w:r w:rsidR="00E257CE">
        <w:rPr>
          <w:rFonts w:cs="Arial"/>
        </w:rPr>
        <w:t xml:space="preserve"> Ao final foi calculado o fator de condição (K), conversão alimentar</w:t>
      </w:r>
      <w:r w:rsidR="00012612">
        <w:rPr>
          <w:rFonts w:cs="Arial"/>
        </w:rPr>
        <w:t xml:space="preserve"> aparente</w:t>
      </w:r>
      <w:r w:rsidR="00E257CE">
        <w:rPr>
          <w:rFonts w:cs="Arial"/>
        </w:rPr>
        <w:t xml:space="preserve"> (</w:t>
      </w:r>
      <w:r w:rsidR="00012612">
        <w:rPr>
          <w:rFonts w:cs="Arial"/>
        </w:rPr>
        <w:t>CAA</w:t>
      </w:r>
      <w:r w:rsidR="00E257CE">
        <w:rPr>
          <w:rFonts w:cs="Arial"/>
        </w:rPr>
        <w:t>)</w:t>
      </w:r>
      <w:r w:rsidR="008542A8">
        <w:rPr>
          <w:rFonts w:cs="Arial"/>
        </w:rPr>
        <w:t xml:space="preserve"> e a</w:t>
      </w:r>
      <w:r w:rsidR="00E257CE">
        <w:rPr>
          <w:rFonts w:cs="Arial"/>
        </w:rPr>
        <w:t xml:space="preserve"> taxa de conversão alimentar (TCE).</w:t>
      </w:r>
      <w:r w:rsidR="008542A8">
        <w:rPr>
          <w:rFonts w:cs="Arial"/>
        </w:rPr>
        <w:t xml:space="preserve"> Diferenças comprovadas por ANOVA de uma via foram seguidos do teste de </w:t>
      </w:r>
      <w:proofErr w:type="spellStart"/>
      <w:r w:rsidR="008542A8">
        <w:rPr>
          <w:rFonts w:cs="Arial"/>
        </w:rPr>
        <w:t>Tukey</w:t>
      </w:r>
      <w:proofErr w:type="spellEnd"/>
      <w:r w:rsidR="008542A8">
        <w:rPr>
          <w:rFonts w:cs="Arial"/>
        </w:rPr>
        <w:t>.</w:t>
      </w:r>
    </w:p>
    <w:p w:rsidR="009D0723" w:rsidRPr="00FA1C48" w:rsidRDefault="00A669A7" w:rsidP="00CD0046">
      <w:pPr>
        <w:pStyle w:val="Ttulodaseoprimria"/>
        <w:spacing w:before="240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364D0F" w:rsidRDefault="00D34237" w:rsidP="00CD0046">
      <w:pPr>
        <w:spacing w:after="240"/>
        <w:rPr>
          <w:rFonts w:cs="Arial"/>
        </w:rPr>
      </w:pPr>
      <w:r>
        <w:rPr>
          <w:rFonts w:cs="Arial"/>
        </w:rPr>
        <w:t>As sobrevivência</w:t>
      </w:r>
      <w:r w:rsidR="000B475C">
        <w:rPr>
          <w:rFonts w:cs="Arial"/>
        </w:rPr>
        <w:t>s</w:t>
      </w:r>
      <w:r>
        <w:rPr>
          <w:rFonts w:cs="Arial"/>
        </w:rPr>
        <w:t xml:space="preserve"> foram de 0, 94, 98 e 96%</w:t>
      </w:r>
      <w:r w:rsidR="00A669A7">
        <w:rPr>
          <w:rFonts w:cs="Arial"/>
        </w:rPr>
        <w:t>, respectivamente</w:t>
      </w:r>
      <w:r>
        <w:rPr>
          <w:rFonts w:cs="Arial"/>
        </w:rPr>
        <w:t xml:space="preserve"> para as salinidades 5, 15, 25 e 35</w:t>
      </w:r>
      <w:r w:rsidR="00A669A7" w:rsidRPr="004D0223">
        <w:rPr>
          <w:rFonts w:cs="Arial"/>
        </w:rPr>
        <w:t>‰</w:t>
      </w:r>
      <w:r>
        <w:rPr>
          <w:rFonts w:cs="Arial"/>
        </w:rPr>
        <w:t xml:space="preserve">. Ao final do experimento não houve diferença </w:t>
      </w:r>
      <w:r>
        <w:rPr>
          <w:rFonts w:cs="Arial"/>
        </w:rPr>
        <w:lastRenderedPageBreak/>
        <w:t xml:space="preserve">significativa </w:t>
      </w:r>
      <w:r w:rsidR="00E41328">
        <w:rPr>
          <w:rFonts w:cs="Arial"/>
        </w:rPr>
        <w:t>dos parâmetros avaliados entre</w:t>
      </w:r>
      <w:r>
        <w:rPr>
          <w:rFonts w:cs="Arial"/>
        </w:rPr>
        <w:t xml:space="preserve"> os tratamentos (</w:t>
      </w:r>
      <w:r w:rsidR="00E91991">
        <w:rPr>
          <w:rFonts w:cs="Arial"/>
        </w:rPr>
        <w:t xml:space="preserve">Tabela </w:t>
      </w:r>
      <w:r>
        <w:rPr>
          <w:rFonts w:cs="Arial"/>
        </w:rPr>
        <w:t>1)</w:t>
      </w:r>
      <w:r w:rsidR="003F71F9">
        <w:rPr>
          <w:rFonts w:cs="Arial"/>
        </w:rPr>
        <w:t>.</w:t>
      </w:r>
      <w:r w:rsidR="000E6914">
        <w:rPr>
          <w:rFonts w:cs="Arial"/>
        </w:rPr>
        <w:t xml:space="preserve"> </w:t>
      </w:r>
      <w:r w:rsidR="005F1C80">
        <w:rPr>
          <w:rFonts w:cs="Arial"/>
        </w:rPr>
        <w:t>A</w:t>
      </w:r>
      <w:r w:rsidR="00310067">
        <w:rPr>
          <w:rFonts w:cs="Arial"/>
        </w:rPr>
        <w:t>s</w:t>
      </w:r>
      <w:r w:rsidR="005F1C80">
        <w:rPr>
          <w:rFonts w:cs="Arial"/>
        </w:rPr>
        <w:t xml:space="preserve"> </w:t>
      </w:r>
      <w:r w:rsidR="00EC5F3B">
        <w:rPr>
          <w:rFonts w:cs="Arial"/>
        </w:rPr>
        <w:t xml:space="preserve">condições ambientais </w:t>
      </w:r>
      <w:r w:rsidR="00310067">
        <w:rPr>
          <w:rFonts w:cs="Arial"/>
        </w:rPr>
        <w:t>do experimento foram de 27,3</w:t>
      </w:r>
      <w:r w:rsidR="00310067" w:rsidRPr="00801D4D">
        <w:rPr>
          <w:rFonts w:cs="Arial"/>
        </w:rPr>
        <w:t>±</w:t>
      </w:r>
      <w:r w:rsidR="00310067">
        <w:rPr>
          <w:rFonts w:cs="Arial"/>
        </w:rPr>
        <w:t xml:space="preserve">0,4 °C de </w:t>
      </w:r>
      <w:r w:rsidR="005F1C80">
        <w:rPr>
          <w:rFonts w:cs="Arial"/>
        </w:rPr>
        <w:t>temperatura</w:t>
      </w:r>
      <w:r w:rsidR="003A68AA">
        <w:rPr>
          <w:rFonts w:cs="Arial"/>
        </w:rPr>
        <w:t>;</w:t>
      </w:r>
      <w:r w:rsidR="00E26928">
        <w:rPr>
          <w:rFonts w:cs="Arial"/>
        </w:rPr>
        <w:t xml:space="preserve"> </w:t>
      </w:r>
      <w:r w:rsidR="00310067">
        <w:rPr>
          <w:rFonts w:cs="Arial"/>
        </w:rPr>
        <w:t>152,9</w:t>
      </w:r>
      <w:r w:rsidR="00310067" w:rsidRPr="00801D4D">
        <w:rPr>
          <w:rFonts w:cs="Arial"/>
        </w:rPr>
        <w:t>±</w:t>
      </w:r>
      <w:r w:rsidR="00310067">
        <w:rPr>
          <w:rFonts w:cs="Arial"/>
        </w:rPr>
        <w:t xml:space="preserve">15,5 </w:t>
      </w:r>
      <w:proofErr w:type="spellStart"/>
      <w:proofErr w:type="gramStart"/>
      <w:r w:rsidR="00310067">
        <w:rPr>
          <w:rFonts w:cs="Arial"/>
        </w:rPr>
        <w:t>mg</w:t>
      </w:r>
      <w:proofErr w:type="spellEnd"/>
      <w:proofErr w:type="gramEnd"/>
      <w:r w:rsidR="00310067">
        <w:rPr>
          <w:rFonts w:cs="Arial"/>
        </w:rPr>
        <w:t xml:space="preserve">/L </w:t>
      </w:r>
      <w:r w:rsidR="00E26928">
        <w:rPr>
          <w:rFonts w:cs="Arial"/>
        </w:rPr>
        <w:t>de alcalinidade</w:t>
      </w:r>
      <w:r w:rsidR="0032679F">
        <w:rPr>
          <w:rFonts w:cs="Arial"/>
        </w:rPr>
        <w:t>;</w:t>
      </w:r>
      <w:r w:rsidR="00E26928">
        <w:rPr>
          <w:rFonts w:cs="Arial"/>
        </w:rPr>
        <w:t xml:space="preserve"> </w:t>
      </w:r>
      <w:r w:rsidR="00310067">
        <w:rPr>
          <w:rFonts w:cs="Arial"/>
        </w:rPr>
        <w:t>0,1</w:t>
      </w:r>
      <w:r w:rsidR="00310067" w:rsidRPr="00801D4D">
        <w:rPr>
          <w:rFonts w:cs="Arial"/>
        </w:rPr>
        <w:t>±</w:t>
      </w:r>
      <w:r w:rsidR="00310067">
        <w:rPr>
          <w:rFonts w:cs="Arial"/>
        </w:rPr>
        <w:t xml:space="preserve">0,15 </w:t>
      </w:r>
      <w:proofErr w:type="spellStart"/>
      <w:r w:rsidR="00310067">
        <w:rPr>
          <w:rFonts w:cs="Arial"/>
        </w:rPr>
        <w:t>mg</w:t>
      </w:r>
      <w:proofErr w:type="spellEnd"/>
      <w:r w:rsidR="00310067">
        <w:rPr>
          <w:rFonts w:cs="Arial"/>
        </w:rPr>
        <w:t xml:space="preserve">/L </w:t>
      </w:r>
      <w:r w:rsidR="00EC5F3B">
        <w:rPr>
          <w:rFonts w:cs="Arial"/>
        </w:rPr>
        <w:t>de amônia total</w:t>
      </w:r>
      <w:r w:rsidR="00706F54">
        <w:rPr>
          <w:rFonts w:cs="Arial"/>
        </w:rPr>
        <w:t xml:space="preserve">; </w:t>
      </w:r>
      <w:r w:rsidR="002C0047">
        <w:rPr>
          <w:rFonts w:cs="Arial"/>
        </w:rPr>
        <w:t>1,1</w:t>
      </w:r>
      <w:r w:rsidR="002C0047" w:rsidRPr="00801D4D">
        <w:rPr>
          <w:rFonts w:cs="Arial"/>
        </w:rPr>
        <w:t>±</w:t>
      </w:r>
      <w:r w:rsidR="002C0047">
        <w:rPr>
          <w:rFonts w:cs="Arial"/>
        </w:rPr>
        <w:t>1,01</w:t>
      </w:r>
      <w:r w:rsidR="00CF7FAA">
        <w:rPr>
          <w:rFonts w:cs="Arial"/>
          <w:vertAlign w:val="superscript"/>
        </w:rPr>
        <w:t xml:space="preserve"> </w:t>
      </w:r>
      <w:proofErr w:type="spellStart"/>
      <w:r w:rsidR="00CF7FAA">
        <w:rPr>
          <w:rFonts w:cs="Arial"/>
        </w:rPr>
        <w:t>mg</w:t>
      </w:r>
      <w:proofErr w:type="spellEnd"/>
      <w:r w:rsidR="00CF7FAA">
        <w:rPr>
          <w:rFonts w:cs="Arial"/>
        </w:rPr>
        <w:t xml:space="preserve">/L de nitrito; </w:t>
      </w:r>
      <w:r w:rsidR="00310067">
        <w:rPr>
          <w:rFonts w:cs="Arial"/>
        </w:rPr>
        <w:t>1,4</w:t>
      </w:r>
      <w:r w:rsidR="00310067" w:rsidRPr="00801D4D">
        <w:rPr>
          <w:rFonts w:cs="Arial"/>
        </w:rPr>
        <w:t>±</w:t>
      </w:r>
      <w:r w:rsidR="00310067">
        <w:rPr>
          <w:rFonts w:cs="Arial"/>
        </w:rPr>
        <w:t xml:space="preserve">2,3 </w:t>
      </w:r>
      <w:proofErr w:type="spellStart"/>
      <w:r w:rsidR="00310067">
        <w:rPr>
          <w:rFonts w:cs="Arial"/>
        </w:rPr>
        <w:t>mg</w:t>
      </w:r>
      <w:proofErr w:type="spellEnd"/>
      <w:r w:rsidR="00310067">
        <w:rPr>
          <w:rFonts w:cs="Arial"/>
        </w:rPr>
        <w:t xml:space="preserve">/L </w:t>
      </w:r>
      <w:r w:rsidR="0032679F">
        <w:rPr>
          <w:rFonts w:cs="Arial"/>
        </w:rPr>
        <w:t xml:space="preserve">de </w:t>
      </w:r>
      <w:r w:rsidR="00E26928">
        <w:rPr>
          <w:rFonts w:cs="Arial"/>
        </w:rPr>
        <w:t>nitrato</w:t>
      </w:r>
      <w:r w:rsidR="00CF7FAA">
        <w:rPr>
          <w:rFonts w:cs="Arial"/>
        </w:rPr>
        <w:t>; 6,56</w:t>
      </w:r>
      <w:r w:rsidR="00CF7FAA" w:rsidRPr="00801D4D">
        <w:rPr>
          <w:rFonts w:cs="Arial"/>
        </w:rPr>
        <w:t>±</w:t>
      </w:r>
      <w:r w:rsidR="002C0047">
        <w:rPr>
          <w:rFonts w:cs="Arial"/>
        </w:rPr>
        <w:t>0,34</w:t>
      </w:r>
      <w:r w:rsidR="00CF7FAA">
        <w:rPr>
          <w:rFonts w:cs="Arial"/>
          <w:vertAlign w:val="superscript"/>
        </w:rPr>
        <w:t xml:space="preserve"> </w:t>
      </w:r>
      <w:proofErr w:type="spellStart"/>
      <w:r w:rsidR="00CF7FAA">
        <w:rPr>
          <w:rFonts w:cs="Arial"/>
        </w:rPr>
        <w:t>mg</w:t>
      </w:r>
      <w:proofErr w:type="spellEnd"/>
      <w:r w:rsidR="00CF7FAA">
        <w:rPr>
          <w:rFonts w:cs="Arial"/>
        </w:rPr>
        <w:t xml:space="preserve">/L de </w:t>
      </w:r>
      <w:r w:rsidR="00744C05">
        <w:rPr>
          <w:rFonts w:cs="Arial"/>
        </w:rPr>
        <w:t>oxigênio</w:t>
      </w:r>
      <w:r w:rsidR="002C0047">
        <w:rPr>
          <w:rFonts w:cs="Arial"/>
        </w:rPr>
        <w:t xml:space="preserve"> e</w:t>
      </w:r>
      <w:r w:rsidR="00744C05">
        <w:rPr>
          <w:rFonts w:cs="Arial"/>
        </w:rPr>
        <w:t xml:space="preserve"> </w:t>
      </w:r>
      <w:r w:rsidR="002C0047">
        <w:rPr>
          <w:rFonts w:cs="Arial"/>
        </w:rPr>
        <w:t>8,06</w:t>
      </w:r>
      <w:r w:rsidR="002C0047" w:rsidRPr="00801D4D">
        <w:rPr>
          <w:rFonts w:cs="Arial"/>
        </w:rPr>
        <w:t>±</w:t>
      </w:r>
      <w:r w:rsidR="002C0047">
        <w:rPr>
          <w:rFonts w:cs="Arial"/>
        </w:rPr>
        <w:t>0,08</w:t>
      </w:r>
      <w:r w:rsidR="00CF7FAA">
        <w:rPr>
          <w:rFonts w:cs="Arial"/>
        </w:rPr>
        <w:t xml:space="preserve"> de</w:t>
      </w:r>
      <w:r w:rsidR="00151582">
        <w:rPr>
          <w:rFonts w:cs="Arial"/>
        </w:rPr>
        <w:t xml:space="preserve"> pH</w:t>
      </w:r>
      <w:r w:rsidR="002C0047">
        <w:rPr>
          <w:rFonts w:cs="Arial"/>
        </w:rPr>
        <w:t xml:space="preserve">. </w:t>
      </w:r>
      <w:r w:rsidR="00616FAD">
        <w:rPr>
          <w:rFonts w:cs="Arial"/>
        </w:rPr>
        <w:t>O padrão de melhor desenvolvimento</w:t>
      </w:r>
      <w:r w:rsidR="000E6914">
        <w:rPr>
          <w:rFonts w:cs="Arial"/>
        </w:rPr>
        <w:t xml:space="preserve"> de </w:t>
      </w:r>
      <w:r w:rsidR="00E26928">
        <w:rPr>
          <w:rFonts w:cs="Arial"/>
        </w:rPr>
        <w:t>juvenis</w:t>
      </w:r>
      <w:r w:rsidR="00616FAD">
        <w:rPr>
          <w:rFonts w:cs="Arial"/>
        </w:rPr>
        <w:t xml:space="preserve"> entre 8-20</w:t>
      </w:r>
      <w:r w:rsidR="00616FAD" w:rsidRPr="00364D0F">
        <w:rPr>
          <w:rFonts w:cs="Arial"/>
        </w:rPr>
        <w:t>‰</w:t>
      </w:r>
      <w:r w:rsidR="00616FAD">
        <w:rPr>
          <w:rFonts w:cs="Arial"/>
        </w:rPr>
        <w:t xml:space="preserve"> estabelecido por </w:t>
      </w:r>
      <w:proofErr w:type="spellStart"/>
      <w:r w:rsidR="00616FAD" w:rsidRPr="00D859D4">
        <w:rPr>
          <w:rFonts w:cs="Arial"/>
        </w:rPr>
        <w:t>Boe</w:t>
      </w:r>
      <w:r w:rsidR="00D859D4" w:rsidRPr="00D859D4">
        <w:rPr>
          <w:rFonts w:cs="Arial"/>
        </w:rPr>
        <w:t>uf</w:t>
      </w:r>
      <w:proofErr w:type="spellEnd"/>
      <w:r w:rsidR="00D859D4" w:rsidRPr="00D859D4">
        <w:rPr>
          <w:rFonts w:cs="Arial"/>
        </w:rPr>
        <w:t xml:space="preserve"> e </w:t>
      </w:r>
      <w:proofErr w:type="spellStart"/>
      <w:r w:rsidR="00D859D4" w:rsidRPr="00D859D4">
        <w:rPr>
          <w:rFonts w:cs="Arial"/>
        </w:rPr>
        <w:t>Payan</w:t>
      </w:r>
      <w:proofErr w:type="spellEnd"/>
      <w:r w:rsidR="00D859D4" w:rsidRPr="00D859D4">
        <w:rPr>
          <w:rFonts w:cs="Arial"/>
        </w:rPr>
        <w:t xml:space="preserve"> (2001)</w:t>
      </w:r>
      <w:r w:rsidR="00616FAD" w:rsidRPr="00D859D4">
        <w:rPr>
          <w:rFonts w:cs="Arial"/>
        </w:rPr>
        <w:t xml:space="preserve"> </w:t>
      </w:r>
      <w:r w:rsidR="0032679F" w:rsidRPr="00D859D4">
        <w:rPr>
          <w:rFonts w:cs="Arial"/>
        </w:rPr>
        <w:t xml:space="preserve">não foi verificado </w:t>
      </w:r>
      <w:r w:rsidR="00616FAD" w:rsidRPr="00D859D4">
        <w:rPr>
          <w:rFonts w:cs="Arial"/>
        </w:rPr>
        <w:t xml:space="preserve">no presente estudo. </w:t>
      </w:r>
      <w:r w:rsidR="003F71F9" w:rsidRPr="00D859D4">
        <w:rPr>
          <w:rFonts w:cs="Arial"/>
        </w:rPr>
        <w:t xml:space="preserve">A </w:t>
      </w:r>
      <w:r w:rsidR="00FD5886" w:rsidRPr="00D859D4">
        <w:rPr>
          <w:rFonts w:cs="Arial"/>
        </w:rPr>
        <w:t xml:space="preserve">redução da </w:t>
      </w:r>
      <w:r w:rsidR="003F71F9" w:rsidRPr="00D859D4">
        <w:rPr>
          <w:rFonts w:cs="Arial"/>
        </w:rPr>
        <w:t>salinidade</w:t>
      </w:r>
      <w:r w:rsidR="003F71F9">
        <w:rPr>
          <w:rFonts w:cs="Arial"/>
        </w:rPr>
        <w:t xml:space="preserve"> até 15</w:t>
      </w:r>
      <w:r w:rsidR="007F4921" w:rsidRPr="00364D0F">
        <w:rPr>
          <w:rFonts w:cs="Arial"/>
        </w:rPr>
        <w:t>‰</w:t>
      </w:r>
      <w:r w:rsidR="003F71F9">
        <w:rPr>
          <w:rFonts w:cs="Arial"/>
        </w:rPr>
        <w:t xml:space="preserve"> não apresentou uma influ</w:t>
      </w:r>
      <w:r w:rsidR="007F4921">
        <w:rPr>
          <w:rFonts w:cs="Arial"/>
        </w:rPr>
        <w:t>ê</w:t>
      </w:r>
      <w:r w:rsidR="003F71F9">
        <w:rPr>
          <w:rFonts w:cs="Arial"/>
        </w:rPr>
        <w:t xml:space="preserve">ncia no desenvolvimento </w:t>
      </w:r>
      <w:r w:rsidR="00FD5886">
        <w:rPr>
          <w:rFonts w:cs="Arial"/>
        </w:rPr>
        <w:t>do peixe palhaço</w:t>
      </w:r>
      <w:r w:rsidR="005B733A">
        <w:rPr>
          <w:rFonts w:cs="Arial"/>
        </w:rPr>
        <w:t>, porém os espécimes não sobrevivem em salinidade 5</w:t>
      </w:r>
      <w:r w:rsidR="006F2F51" w:rsidRPr="00364D0F">
        <w:rPr>
          <w:rFonts w:cs="Arial"/>
        </w:rPr>
        <w:t>‰</w:t>
      </w:r>
      <w:r w:rsidR="0032679F">
        <w:rPr>
          <w:rFonts w:cs="Arial"/>
        </w:rPr>
        <w:t>. Isto difere</w:t>
      </w:r>
      <w:r w:rsidR="005B733A" w:rsidRPr="00364D0F">
        <w:rPr>
          <w:rFonts w:cs="Arial"/>
        </w:rPr>
        <w:t xml:space="preserve"> do que ocorre com </w:t>
      </w:r>
      <w:proofErr w:type="spellStart"/>
      <w:r w:rsidR="00364D0F" w:rsidRPr="007F4921">
        <w:rPr>
          <w:rFonts w:cs="Arial"/>
          <w:i/>
        </w:rPr>
        <w:t>Amphiprion</w:t>
      </w:r>
      <w:proofErr w:type="spellEnd"/>
      <w:r w:rsidR="00364D0F" w:rsidRPr="007F4921">
        <w:rPr>
          <w:rFonts w:cs="Arial"/>
          <w:i/>
        </w:rPr>
        <w:t xml:space="preserve"> </w:t>
      </w:r>
      <w:proofErr w:type="spellStart"/>
      <w:r w:rsidR="00364D0F" w:rsidRPr="007F4921">
        <w:rPr>
          <w:rFonts w:cs="Arial"/>
          <w:i/>
        </w:rPr>
        <w:t>akallopisos</w:t>
      </w:r>
      <w:proofErr w:type="spellEnd"/>
      <w:r w:rsidR="00364D0F" w:rsidRPr="007F4921">
        <w:rPr>
          <w:rFonts w:cs="Arial"/>
        </w:rPr>
        <w:t xml:space="preserve"> </w:t>
      </w:r>
      <w:r w:rsidR="00364D0F">
        <w:rPr>
          <w:rFonts w:cs="Arial"/>
        </w:rPr>
        <w:t>espécie em que</w:t>
      </w:r>
      <w:r w:rsidR="00210717">
        <w:rPr>
          <w:rFonts w:cs="Arial"/>
        </w:rPr>
        <w:t xml:space="preserve">, diminuindo diariamente </w:t>
      </w:r>
      <w:proofErr w:type="gramStart"/>
      <w:r w:rsidR="00210717">
        <w:rPr>
          <w:rFonts w:cs="Arial"/>
        </w:rPr>
        <w:t>2</w:t>
      </w:r>
      <w:proofErr w:type="gramEnd"/>
      <w:r w:rsidR="00210717" w:rsidRPr="00364D0F">
        <w:rPr>
          <w:rFonts w:cs="Arial"/>
        </w:rPr>
        <w:t>‰</w:t>
      </w:r>
      <w:r w:rsidR="00210717">
        <w:rPr>
          <w:rFonts w:cs="Arial"/>
        </w:rPr>
        <w:t>,</w:t>
      </w:r>
      <w:r w:rsidR="00616FAD">
        <w:rPr>
          <w:rFonts w:cs="Arial"/>
        </w:rPr>
        <w:t xml:space="preserve"> 100% de mortalidade ocorre</w:t>
      </w:r>
      <w:r w:rsidR="00BC5D5D">
        <w:rPr>
          <w:rFonts w:cs="Arial"/>
        </w:rPr>
        <w:t>u</w:t>
      </w:r>
      <w:r w:rsidR="00616FAD">
        <w:rPr>
          <w:rFonts w:cs="Arial"/>
        </w:rPr>
        <w:t xml:space="preserve"> em 3</w:t>
      </w:r>
      <w:r w:rsidR="00616FAD" w:rsidRPr="00364D0F">
        <w:rPr>
          <w:rFonts w:cs="Arial"/>
        </w:rPr>
        <w:t>‰</w:t>
      </w:r>
      <w:r w:rsidR="00616FAD">
        <w:rPr>
          <w:rFonts w:cs="Arial"/>
        </w:rPr>
        <w:t xml:space="preserve"> e</w:t>
      </w:r>
      <w:r w:rsidR="00364D0F">
        <w:rPr>
          <w:rFonts w:cs="Arial"/>
        </w:rPr>
        <w:t xml:space="preserve"> mort</w:t>
      </w:r>
      <w:r w:rsidR="00616FAD">
        <w:rPr>
          <w:rFonts w:cs="Arial"/>
        </w:rPr>
        <w:t>es</w:t>
      </w:r>
      <w:r w:rsidR="00364D0F">
        <w:rPr>
          <w:rFonts w:cs="Arial"/>
        </w:rPr>
        <w:t xml:space="preserve"> só foram observadas abaixo de</w:t>
      </w:r>
      <w:r w:rsidR="00616FAD">
        <w:rPr>
          <w:rFonts w:cs="Arial"/>
        </w:rPr>
        <w:t xml:space="preserve"> 5</w:t>
      </w:r>
      <w:r w:rsidR="00364D0F" w:rsidRPr="00364D0F">
        <w:rPr>
          <w:rFonts w:cs="Arial"/>
        </w:rPr>
        <w:t>‰</w:t>
      </w:r>
      <w:r w:rsidR="00364D0F">
        <w:rPr>
          <w:rFonts w:cs="Arial"/>
        </w:rPr>
        <w:t xml:space="preserve">, </w:t>
      </w:r>
      <w:r w:rsidR="00CE510B">
        <w:rPr>
          <w:rFonts w:cs="Arial"/>
        </w:rPr>
        <w:t xml:space="preserve">sendo </w:t>
      </w:r>
      <w:r w:rsidR="00364D0F">
        <w:rPr>
          <w:rFonts w:cs="Arial"/>
        </w:rPr>
        <w:t>es</w:t>
      </w:r>
      <w:r w:rsidR="00CE510B">
        <w:rPr>
          <w:rFonts w:cs="Arial"/>
        </w:rPr>
        <w:t>s</w:t>
      </w:r>
      <w:r w:rsidR="00364D0F">
        <w:rPr>
          <w:rFonts w:cs="Arial"/>
        </w:rPr>
        <w:t>a sua tolerância (</w:t>
      </w:r>
      <w:r w:rsidR="00364D0F" w:rsidRPr="00E9203E">
        <w:rPr>
          <w:rFonts w:cs="Arial"/>
        </w:rPr>
        <w:t xml:space="preserve">DHANEESH </w:t>
      </w:r>
      <w:proofErr w:type="spellStart"/>
      <w:r w:rsidR="00364D0F" w:rsidRPr="00E9203E">
        <w:rPr>
          <w:rFonts w:cs="Arial"/>
          <w:i/>
        </w:rPr>
        <w:t>et</w:t>
      </w:r>
      <w:proofErr w:type="spellEnd"/>
      <w:r w:rsidR="00364D0F" w:rsidRPr="00E9203E">
        <w:rPr>
          <w:rFonts w:cs="Arial"/>
          <w:i/>
        </w:rPr>
        <w:t xml:space="preserve"> al.</w:t>
      </w:r>
      <w:r w:rsidR="00364D0F">
        <w:rPr>
          <w:rFonts w:cs="Arial"/>
        </w:rPr>
        <w:t xml:space="preserve"> </w:t>
      </w:r>
      <w:r w:rsidR="00364D0F" w:rsidRPr="00E9203E">
        <w:rPr>
          <w:rFonts w:cs="Arial"/>
        </w:rPr>
        <w:t>2011)</w:t>
      </w:r>
      <w:r w:rsidR="00364D0F">
        <w:rPr>
          <w:rFonts w:cs="Arial"/>
          <w:b/>
        </w:rPr>
        <w:t>.</w:t>
      </w:r>
      <w:r w:rsidR="00364D0F" w:rsidRPr="007F4921">
        <w:rPr>
          <w:rFonts w:cs="Arial"/>
        </w:rPr>
        <w:t xml:space="preserve"> </w:t>
      </w:r>
    </w:p>
    <w:p w:rsidR="000B475C" w:rsidRDefault="00890CED" w:rsidP="00710A35">
      <w:pPr>
        <w:jc w:val="center"/>
        <w:rPr>
          <w:rFonts w:cs="Arial"/>
        </w:rPr>
      </w:pPr>
      <w:r>
        <w:rPr>
          <w:rFonts w:cs="Arial"/>
        </w:rPr>
        <w:t>Tabela</w:t>
      </w:r>
      <w:r w:rsidR="00FD5886">
        <w:rPr>
          <w:rFonts w:cs="Arial"/>
        </w:rPr>
        <w:t xml:space="preserve"> </w:t>
      </w:r>
      <w:r>
        <w:rPr>
          <w:rFonts w:cs="Arial"/>
        </w:rPr>
        <w:t xml:space="preserve">1 – </w:t>
      </w:r>
      <w:r w:rsidR="00E257CE">
        <w:rPr>
          <w:rFonts w:cs="Arial"/>
        </w:rPr>
        <w:t>Desenvolvimento</w:t>
      </w:r>
      <w:r>
        <w:rPr>
          <w:rFonts w:cs="Arial"/>
        </w:rPr>
        <w:t xml:space="preserve"> </w:t>
      </w:r>
      <w:r w:rsidR="00A669A7">
        <w:rPr>
          <w:rFonts w:cs="Arial"/>
        </w:rPr>
        <w:t xml:space="preserve">de juvenis </w:t>
      </w:r>
      <w:r>
        <w:rPr>
          <w:rFonts w:cs="Arial"/>
        </w:rPr>
        <w:t>d</w:t>
      </w:r>
      <w:r w:rsidR="00A669A7">
        <w:rPr>
          <w:rFonts w:cs="Arial"/>
        </w:rPr>
        <w:t>o peixe palhaço</w:t>
      </w:r>
      <w:r>
        <w:rPr>
          <w:rFonts w:cs="Arial"/>
        </w:rPr>
        <w:t xml:space="preserve"> </w:t>
      </w:r>
      <w:proofErr w:type="spellStart"/>
      <w:r w:rsidRPr="00890CED">
        <w:rPr>
          <w:rFonts w:cs="Arial"/>
          <w:i/>
        </w:rPr>
        <w:t>A</w:t>
      </w:r>
      <w:r w:rsidR="00A669A7">
        <w:rPr>
          <w:rFonts w:cs="Arial"/>
          <w:i/>
        </w:rPr>
        <w:t>mphiprion</w:t>
      </w:r>
      <w:proofErr w:type="spellEnd"/>
      <w:r w:rsidRPr="00890CED">
        <w:rPr>
          <w:rFonts w:cs="Arial"/>
          <w:i/>
        </w:rPr>
        <w:t xml:space="preserve"> </w:t>
      </w:r>
      <w:proofErr w:type="spellStart"/>
      <w:r w:rsidRPr="00890CED">
        <w:rPr>
          <w:rFonts w:cs="Arial"/>
          <w:i/>
        </w:rPr>
        <w:t>ocellaris</w:t>
      </w:r>
      <w:proofErr w:type="spellEnd"/>
      <w:r w:rsidR="00E41328">
        <w:rPr>
          <w:rFonts w:cs="Arial"/>
          <w:i/>
        </w:rPr>
        <w:t xml:space="preserve"> </w:t>
      </w:r>
      <w:r w:rsidR="00E41328">
        <w:rPr>
          <w:rFonts w:cs="Arial"/>
        </w:rPr>
        <w:t>“Black”</w:t>
      </w:r>
      <w:r>
        <w:rPr>
          <w:rFonts w:cs="Arial"/>
        </w:rPr>
        <w:t xml:space="preserve"> em diferentes salinidades</w:t>
      </w:r>
      <w:r w:rsidR="00E257CE">
        <w:rPr>
          <w:rFonts w:cs="Arial"/>
        </w:rPr>
        <w:t>.</w:t>
      </w:r>
      <w:r w:rsidR="00E41328">
        <w:rPr>
          <w:rFonts w:cs="Arial"/>
        </w:rPr>
        <w:t xml:space="preserve"> Peso (</w:t>
      </w:r>
      <w:proofErr w:type="spellStart"/>
      <w:r w:rsidR="00E41328">
        <w:rPr>
          <w:rFonts w:cs="Arial"/>
        </w:rPr>
        <w:t>mg</w:t>
      </w:r>
      <w:proofErr w:type="spellEnd"/>
      <w:r w:rsidR="00E41328">
        <w:rPr>
          <w:rFonts w:cs="Arial"/>
        </w:rPr>
        <w:t>);</w:t>
      </w:r>
      <w:r w:rsidR="00012612">
        <w:rPr>
          <w:rFonts w:cs="Arial"/>
        </w:rPr>
        <w:t xml:space="preserve"> K: Fator de condição; </w:t>
      </w:r>
      <w:r w:rsidR="00E257CE">
        <w:rPr>
          <w:rFonts w:cs="Arial"/>
        </w:rPr>
        <w:t>C</w:t>
      </w:r>
      <w:r w:rsidR="00012612">
        <w:rPr>
          <w:rFonts w:cs="Arial"/>
        </w:rPr>
        <w:t>AA</w:t>
      </w:r>
      <w:r w:rsidR="00E257CE">
        <w:rPr>
          <w:rFonts w:cs="Arial"/>
        </w:rPr>
        <w:t>: Conversão alimentar</w:t>
      </w:r>
      <w:r w:rsidR="00012612">
        <w:rPr>
          <w:rFonts w:cs="Arial"/>
        </w:rPr>
        <w:t xml:space="preserve"> aparente</w:t>
      </w:r>
      <w:r w:rsidR="00E257CE">
        <w:rPr>
          <w:rFonts w:cs="Arial"/>
        </w:rPr>
        <w:t xml:space="preserve">; TCE: Taxa de </w:t>
      </w:r>
      <w:r w:rsidR="00E41328">
        <w:rPr>
          <w:rFonts w:cs="Arial"/>
        </w:rPr>
        <w:t>crescimento específico</w:t>
      </w:r>
      <w:r w:rsidR="00326667">
        <w:rPr>
          <w:rFonts w:cs="Arial"/>
        </w:rPr>
        <w:t xml:space="preserve"> </w:t>
      </w:r>
      <w:r w:rsidR="00E41328">
        <w:rPr>
          <w:rFonts w:cs="Arial"/>
        </w:rPr>
        <w:t>.</w:t>
      </w:r>
    </w:p>
    <w:tbl>
      <w:tblPr>
        <w:tblStyle w:val="LightShading1"/>
        <w:tblW w:w="9196" w:type="dxa"/>
        <w:tblLook w:val="04A0"/>
      </w:tblPr>
      <w:tblGrid>
        <w:gridCol w:w="2263"/>
        <w:gridCol w:w="2299"/>
        <w:gridCol w:w="2335"/>
        <w:gridCol w:w="2299"/>
      </w:tblGrid>
      <w:tr w:rsidR="005B733A" w:rsidRPr="005B733A">
        <w:trPr>
          <w:cnfStyle w:val="100000000000"/>
          <w:trHeight w:val="322"/>
        </w:trPr>
        <w:tc>
          <w:tcPr>
            <w:cnfStyle w:val="001000000000"/>
            <w:tcW w:w="2263" w:type="dxa"/>
            <w:shd w:val="clear" w:color="auto" w:fill="auto"/>
            <w:noWrap/>
          </w:tcPr>
          <w:p w:rsidR="005B733A" w:rsidRPr="005B733A" w:rsidRDefault="005B733A">
            <w:pPr>
              <w:rPr>
                <w:rFonts w:cs="Arial"/>
                <w:color w:val="000000"/>
              </w:rPr>
            </w:pPr>
            <w:r w:rsidRPr="005B733A">
              <w:rPr>
                <w:rFonts w:cs="Arial"/>
                <w:color w:val="000000"/>
              </w:rPr>
              <w:t>Salinidade</w:t>
            </w:r>
          </w:p>
        </w:tc>
        <w:tc>
          <w:tcPr>
            <w:tcW w:w="2299" w:type="dxa"/>
            <w:shd w:val="clear" w:color="auto" w:fill="auto"/>
            <w:noWrap/>
          </w:tcPr>
          <w:p w:rsidR="005B733A" w:rsidRPr="005B733A" w:rsidRDefault="005B733A">
            <w:pPr>
              <w:jc w:val="center"/>
              <w:cnfStyle w:val="100000000000"/>
              <w:rPr>
                <w:rFonts w:cs="Arial"/>
                <w:color w:val="000000"/>
              </w:rPr>
            </w:pPr>
            <w:r w:rsidRPr="005B733A">
              <w:rPr>
                <w:rFonts w:cs="Arial"/>
                <w:color w:val="000000"/>
              </w:rPr>
              <w:t>15‰</w:t>
            </w:r>
          </w:p>
        </w:tc>
        <w:tc>
          <w:tcPr>
            <w:tcW w:w="2335" w:type="dxa"/>
            <w:shd w:val="clear" w:color="auto" w:fill="auto"/>
            <w:noWrap/>
          </w:tcPr>
          <w:p w:rsidR="005B733A" w:rsidRPr="005B733A" w:rsidRDefault="005B733A">
            <w:pPr>
              <w:jc w:val="center"/>
              <w:cnfStyle w:val="100000000000"/>
              <w:rPr>
                <w:rFonts w:cs="Arial"/>
                <w:color w:val="000000"/>
              </w:rPr>
            </w:pPr>
            <w:r w:rsidRPr="005B733A">
              <w:rPr>
                <w:rFonts w:cs="Arial"/>
                <w:color w:val="000000"/>
              </w:rPr>
              <w:t>25‰</w:t>
            </w:r>
          </w:p>
        </w:tc>
        <w:tc>
          <w:tcPr>
            <w:tcW w:w="2299" w:type="dxa"/>
            <w:shd w:val="clear" w:color="auto" w:fill="auto"/>
            <w:noWrap/>
          </w:tcPr>
          <w:p w:rsidR="005B733A" w:rsidRPr="005B733A" w:rsidRDefault="005B733A">
            <w:pPr>
              <w:jc w:val="center"/>
              <w:cnfStyle w:val="100000000000"/>
              <w:rPr>
                <w:rFonts w:cs="Arial"/>
                <w:color w:val="000000"/>
              </w:rPr>
            </w:pPr>
            <w:r w:rsidRPr="005B733A">
              <w:rPr>
                <w:rFonts w:cs="Arial"/>
                <w:color w:val="000000"/>
              </w:rPr>
              <w:t>35‰</w:t>
            </w:r>
          </w:p>
        </w:tc>
      </w:tr>
      <w:tr w:rsidR="005B733A" w:rsidRPr="005B733A">
        <w:trPr>
          <w:cnfStyle w:val="000000100000"/>
          <w:trHeight w:val="322"/>
        </w:trPr>
        <w:tc>
          <w:tcPr>
            <w:cnfStyle w:val="001000000000"/>
            <w:tcW w:w="2263" w:type="dxa"/>
            <w:shd w:val="clear" w:color="auto" w:fill="auto"/>
            <w:noWrap/>
          </w:tcPr>
          <w:p w:rsidR="005B733A" w:rsidRPr="005B733A" w:rsidRDefault="005B733A">
            <w:pPr>
              <w:rPr>
                <w:rFonts w:cs="Arial"/>
                <w:color w:val="000000"/>
              </w:rPr>
            </w:pPr>
            <w:r w:rsidRPr="005B733A">
              <w:rPr>
                <w:rFonts w:cs="Arial"/>
                <w:color w:val="000000"/>
              </w:rPr>
              <w:t>Peso in</w:t>
            </w:r>
            <w:r>
              <w:rPr>
                <w:rFonts w:cs="Arial"/>
                <w:color w:val="000000"/>
              </w:rPr>
              <w:t>i</w:t>
            </w:r>
            <w:r w:rsidRPr="005B733A">
              <w:rPr>
                <w:rFonts w:cs="Arial"/>
                <w:color w:val="000000"/>
              </w:rPr>
              <w:t>cial</w:t>
            </w:r>
          </w:p>
        </w:tc>
        <w:tc>
          <w:tcPr>
            <w:tcW w:w="2299" w:type="dxa"/>
            <w:shd w:val="clear" w:color="auto" w:fill="auto"/>
            <w:noWrap/>
          </w:tcPr>
          <w:p w:rsidR="005B733A" w:rsidRPr="005B733A" w:rsidRDefault="00E41328">
            <w:pPr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88,8 ± 32,</w:t>
            </w:r>
            <w:r w:rsidR="005B733A" w:rsidRPr="005B733A">
              <w:rPr>
                <w:rFonts w:cs="Arial"/>
                <w:color w:val="000000"/>
              </w:rPr>
              <w:t>3</w:t>
            </w:r>
          </w:p>
        </w:tc>
        <w:tc>
          <w:tcPr>
            <w:tcW w:w="2335" w:type="dxa"/>
            <w:shd w:val="clear" w:color="auto" w:fill="auto"/>
            <w:noWrap/>
          </w:tcPr>
          <w:p w:rsidR="005B733A" w:rsidRPr="005B733A" w:rsidRDefault="00E41328">
            <w:pPr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80,8 ± 29,</w:t>
            </w:r>
            <w:r w:rsidR="005B733A" w:rsidRPr="005B733A">
              <w:rPr>
                <w:rFonts w:cs="Arial"/>
                <w:color w:val="000000"/>
              </w:rPr>
              <w:t>9</w:t>
            </w:r>
          </w:p>
        </w:tc>
        <w:tc>
          <w:tcPr>
            <w:tcW w:w="2299" w:type="dxa"/>
            <w:shd w:val="clear" w:color="auto" w:fill="auto"/>
            <w:noWrap/>
          </w:tcPr>
          <w:p w:rsidR="005B733A" w:rsidRPr="005B733A" w:rsidRDefault="00E41328">
            <w:pPr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95,2± 29,</w:t>
            </w:r>
            <w:r w:rsidR="005B733A" w:rsidRPr="005B733A">
              <w:rPr>
                <w:rFonts w:cs="Arial"/>
                <w:color w:val="000000"/>
              </w:rPr>
              <w:t>9</w:t>
            </w:r>
          </w:p>
        </w:tc>
      </w:tr>
      <w:tr w:rsidR="005B733A" w:rsidRPr="005B733A">
        <w:trPr>
          <w:trHeight w:val="322"/>
        </w:trPr>
        <w:tc>
          <w:tcPr>
            <w:cnfStyle w:val="001000000000"/>
            <w:tcW w:w="2263" w:type="dxa"/>
            <w:shd w:val="clear" w:color="auto" w:fill="auto"/>
            <w:noWrap/>
          </w:tcPr>
          <w:p w:rsidR="005B733A" w:rsidRPr="005B733A" w:rsidRDefault="005B733A">
            <w:pPr>
              <w:rPr>
                <w:rFonts w:cs="Arial"/>
                <w:color w:val="000000"/>
              </w:rPr>
            </w:pPr>
            <w:r w:rsidRPr="005B733A">
              <w:rPr>
                <w:rFonts w:cs="Arial"/>
                <w:color w:val="000000"/>
              </w:rPr>
              <w:t>Peso 30 dias</w:t>
            </w:r>
          </w:p>
        </w:tc>
        <w:tc>
          <w:tcPr>
            <w:tcW w:w="2299" w:type="dxa"/>
            <w:shd w:val="clear" w:color="auto" w:fill="auto"/>
            <w:noWrap/>
          </w:tcPr>
          <w:p w:rsidR="005B733A" w:rsidRPr="005B733A" w:rsidRDefault="005B733A" w:rsidP="00E41328">
            <w:pPr>
              <w:jc w:val="center"/>
              <w:cnfStyle w:val="000000000000"/>
              <w:rPr>
                <w:rFonts w:cs="Arial"/>
                <w:color w:val="000000"/>
              </w:rPr>
            </w:pPr>
            <w:r w:rsidRPr="005B733A">
              <w:rPr>
                <w:rFonts w:cs="Arial"/>
                <w:color w:val="000000"/>
              </w:rPr>
              <w:t>197</w:t>
            </w:r>
            <w:r w:rsidR="00E41328">
              <w:rPr>
                <w:rFonts w:cs="Arial"/>
                <w:color w:val="000000"/>
              </w:rPr>
              <w:t>,2 ± 68,</w:t>
            </w:r>
            <w:r w:rsidRPr="005B733A">
              <w:rPr>
                <w:rFonts w:cs="Arial"/>
                <w:color w:val="000000"/>
              </w:rPr>
              <w:t>7</w:t>
            </w:r>
          </w:p>
        </w:tc>
        <w:tc>
          <w:tcPr>
            <w:tcW w:w="2335" w:type="dxa"/>
            <w:shd w:val="clear" w:color="auto" w:fill="auto"/>
            <w:noWrap/>
          </w:tcPr>
          <w:p w:rsidR="005B733A" w:rsidRPr="005B733A" w:rsidRDefault="00E41328" w:rsidP="00E41328">
            <w:pPr>
              <w:jc w:val="center"/>
              <w:cnfStyle w:val="0000000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181,</w:t>
            </w:r>
            <w:r w:rsidR="005B733A" w:rsidRPr="005B733A">
              <w:rPr>
                <w:rFonts w:cs="Arial"/>
                <w:color w:val="000000"/>
              </w:rPr>
              <w:t>7 ± 54</w:t>
            </w:r>
            <w:r>
              <w:rPr>
                <w:rFonts w:cs="Arial"/>
                <w:color w:val="000000"/>
              </w:rPr>
              <w:t>,</w:t>
            </w:r>
            <w:r w:rsidR="005B733A" w:rsidRPr="005B733A">
              <w:rPr>
                <w:rFonts w:cs="Arial"/>
                <w:color w:val="000000"/>
              </w:rPr>
              <w:t>6</w:t>
            </w:r>
          </w:p>
        </w:tc>
        <w:tc>
          <w:tcPr>
            <w:tcW w:w="2299" w:type="dxa"/>
            <w:shd w:val="clear" w:color="auto" w:fill="auto"/>
            <w:noWrap/>
          </w:tcPr>
          <w:p w:rsidR="005B733A" w:rsidRPr="005B733A" w:rsidRDefault="00E41328" w:rsidP="00E41328">
            <w:pPr>
              <w:jc w:val="center"/>
              <w:cnfStyle w:val="0000000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181,</w:t>
            </w:r>
            <w:r w:rsidR="005B733A" w:rsidRPr="005B733A">
              <w:rPr>
                <w:rFonts w:cs="Arial"/>
                <w:color w:val="000000"/>
              </w:rPr>
              <w:t>2 ± 63</w:t>
            </w:r>
            <w:r>
              <w:rPr>
                <w:rFonts w:cs="Arial"/>
                <w:color w:val="000000"/>
              </w:rPr>
              <w:t>,</w:t>
            </w:r>
            <w:r w:rsidR="005B733A" w:rsidRPr="005B733A">
              <w:rPr>
                <w:rFonts w:cs="Arial"/>
                <w:color w:val="000000"/>
              </w:rPr>
              <w:t>1</w:t>
            </w:r>
          </w:p>
        </w:tc>
      </w:tr>
      <w:tr w:rsidR="005B733A">
        <w:trPr>
          <w:cnfStyle w:val="000000100000"/>
          <w:trHeight w:val="322"/>
        </w:trPr>
        <w:tc>
          <w:tcPr>
            <w:cnfStyle w:val="001000000000"/>
            <w:tcW w:w="2263" w:type="dxa"/>
            <w:shd w:val="clear" w:color="auto" w:fill="auto"/>
            <w:noWrap/>
          </w:tcPr>
          <w:p w:rsidR="005B733A" w:rsidRPr="005B733A" w:rsidRDefault="005B733A">
            <w:pPr>
              <w:rPr>
                <w:rFonts w:cs="Arial"/>
                <w:color w:val="000000"/>
              </w:rPr>
            </w:pPr>
            <w:r w:rsidRPr="005B733A">
              <w:rPr>
                <w:rFonts w:cs="Arial"/>
                <w:color w:val="000000"/>
              </w:rPr>
              <w:t>Peso 60 dias</w:t>
            </w:r>
          </w:p>
        </w:tc>
        <w:tc>
          <w:tcPr>
            <w:tcW w:w="2299" w:type="dxa"/>
            <w:shd w:val="clear" w:color="auto" w:fill="auto"/>
            <w:noWrap/>
          </w:tcPr>
          <w:p w:rsidR="005B733A" w:rsidRPr="005B733A" w:rsidRDefault="00E41328">
            <w:pPr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300,1 ± 134,</w:t>
            </w:r>
            <w:r w:rsidR="005B733A" w:rsidRPr="005B733A">
              <w:rPr>
                <w:rFonts w:cs="Arial"/>
                <w:color w:val="000000"/>
              </w:rPr>
              <w:t>3</w:t>
            </w:r>
          </w:p>
        </w:tc>
        <w:tc>
          <w:tcPr>
            <w:tcW w:w="2335" w:type="dxa"/>
            <w:shd w:val="clear" w:color="auto" w:fill="auto"/>
            <w:noWrap/>
          </w:tcPr>
          <w:p w:rsidR="005B733A" w:rsidRPr="005B733A" w:rsidRDefault="00E41328">
            <w:pPr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287,7 ± 109,</w:t>
            </w:r>
            <w:r w:rsidR="005B733A" w:rsidRPr="005B733A">
              <w:rPr>
                <w:rFonts w:cs="Arial"/>
                <w:color w:val="000000"/>
              </w:rPr>
              <w:t>9</w:t>
            </w:r>
          </w:p>
        </w:tc>
        <w:tc>
          <w:tcPr>
            <w:tcW w:w="2299" w:type="dxa"/>
            <w:shd w:val="clear" w:color="auto" w:fill="auto"/>
            <w:noWrap/>
          </w:tcPr>
          <w:p w:rsidR="005B733A" w:rsidRPr="005B733A" w:rsidRDefault="00E41328">
            <w:pPr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273,5 ± 108,</w:t>
            </w:r>
            <w:r w:rsidR="005B733A" w:rsidRPr="005B733A">
              <w:rPr>
                <w:rFonts w:cs="Arial"/>
                <w:color w:val="000000"/>
              </w:rPr>
              <w:t>9</w:t>
            </w:r>
          </w:p>
        </w:tc>
      </w:tr>
      <w:tr w:rsidR="00E257CE">
        <w:trPr>
          <w:trHeight w:val="322"/>
        </w:trPr>
        <w:tc>
          <w:tcPr>
            <w:cnfStyle w:val="001000000000"/>
            <w:tcW w:w="2263" w:type="dxa"/>
            <w:shd w:val="clear" w:color="auto" w:fill="auto"/>
            <w:noWrap/>
          </w:tcPr>
          <w:p w:rsidR="00E257CE" w:rsidRPr="005B733A" w:rsidRDefault="00E257CE" w:rsidP="00E257C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</w:t>
            </w:r>
          </w:p>
        </w:tc>
        <w:tc>
          <w:tcPr>
            <w:tcW w:w="2299" w:type="dxa"/>
            <w:shd w:val="clear" w:color="auto" w:fill="auto"/>
            <w:noWrap/>
          </w:tcPr>
          <w:p w:rsidR="00E257CE" w:rsidRPr="005B733A" w:rsidRDefault="00E41328">
            <w:pPr>
              <w:jc w:val="center"/>
              <w:cnfStyle w:val="0000000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4,4 ± 0,3</w:t>
            </w:r>
          </w:p>
        </w:tc>
        <w:tc>
          <w:tcPr>
            <w:tcW w:w="2335" w:type="dxa"/>
            <w:shd w:val="clear" w:color="auto" w:fill="auto"/>
            <w:noWrap/>
          </w:tcPr>
          <w:p w:rsidR="00E257CE" w:rsidRPr="005B733A" w:rsidRDefault="00E41328">
            <w:pPr>
              <w:jc w:val="center"/>
              <w:cnfStyle w:val="0000000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4,6 ± 0,2</w:t>
            </w:r>
          </w:p>
        </w:tc>
        <w:tc>
          <w:tcPr>
            <w:tcW w:w="2299" w:type="dxa"/>
            <w:shd w:val="clear" w:color="auto" w:fill="auto"/>
            <w:noWrap/>
          </w:tcPr>
          <w:p w:rsidR="00E257CE" w:rsidRPr="005B733A" w:rsidRDefault="00E41328">
            <w:pPr>
              <w:jc w:val="center"/>
              <w:cnfStyle w:val="0000000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4,5 ± 0,2</w:t>
            </w:r>
          </w:p>
        </w:tc>
      </w:tr>
      <w:tr w:rsidR="00E257CE">
        <w:trPr>
          <w:cnfStyle w:val="000000100000"/>
          <w:trHeight w:val="322"/>
        </w:trPr>
        <w:tc>
          <w:tcPr>
            <w:cnfStyle w:val="001000000000"/>
            <w:tcW w:w="2263" w:type="dxa"/>
            <w:shd w:val="clear" w:color="auto" w:fill="auto"/>
            <w:noWrap/>
          </w:tcPr>
          <w:p w:rsidR="00E257CE" w:rsidRPr="005B733A" w:rsidRDefault="00012612" w:rsidP="00E257C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CAA</w:t>
            </w:r>
          </w:p>
        </w:tc>
        <w:tc>
          <w:tcPr>
            <w:tcW w:w="2299" w:type="dxa"/>
            <w:shd w:val="clear" w:color="auto" w:fill="auto"/>
            <w:noWrap/>
          </w:tcPr>
          <w:p w:rsidR="00E257CE" w:rsidRPr="005B733A" w:rsidRDefault="00CE510B">
            <w:pPr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1,9 </w:t>
            </w:r>
            <w:r w:rsidR="00E41328">
              <w:rPr>
                <w:rFonts w:cs="Arial"/>
                <w:color w:val="000000"/>
              </w:rPr>
              <w:t>±</w:t>
            </w:r>
            <w:r>
              <w:rPr>
                <w:rFonts w:cs="Arial"/>
                <w:color w:val="000000"/>
              </w:rPr>
              <w:t xml:space="preserve"> 0,1</w:t>
            </w:r>
          </w:p>
        </w:tc>
        <w:tc>
          <w:tcPr>
            <w:tcW w:w="2335" w:type="dxa"/>
            <w:shd w:val="clear" w:color="auto" w:fill="auto"/>
            <w:noWrap/>
          </w:tcPr>
          <w:p w:rsidR="00E257CE" w:rsidRPr="005B733A" w:rsidRDefault="00CE510B">
            <w:pPr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1,5 </w:t>
            </w:r>
            <w:r w:rsidR="00E41328">
              <w:rPr>
                <w:rFonts w:cs="Arial"/>
                <w:color w:val="000000"/>
              </w:rPr>
              <w:t>±</w:t>
            </w:r>
            <w:r>
              <w:rPr>
                <w:rFonts w:cs="Arial"/>
                <w:color w:val="000000"/>
              </w:rPr>
              <w:t xml:space="preserve"> 0,3</w:t>
            </w:r>
          </w:p>
        </w:tc>
        <w:tc>
          <w:tcPr>
            <w:tcW w:w="2299" w:type="dxa"/>
            <w:shd w:val="clear" w:color="auto" w:fill="auto"/>
            <w:noWrap/>
          </w:tcPr>
          <w:p w:rsidR="00E257CE" w:rsidRPr="005B733A" w:rsidRDefault="00CE510B">
            <w:pPr>
              <w:jc w:val="center"/>
              <w:cnfStyle w:val="0000001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1,5 </w:t>
            </w:r>
            <w:r w:rsidR="00E41328">
              <w:rPr>
                <w:rFonts w:cs="Arial"/>
                <w:color w:val="000000"/>
              </w:rPr>
              <w:t>±</w:t>
            </w:r>
            <w:r>
              <w:rPr>
                <w:rFonts w:cs="Arial"/>
                <w:color w:val="000000"/>
              </w:rPr>
              <w:t xml:space="preserve"> 0,02</w:t>
            </w:r>
          </w:p>
        </w:tc>
      </w:tr>
      <w:tr w:rsidR="00E257CE">
        <w:trPr>
          <w:trHeight w:val="322"/>
        </w:trPr>
        <w:tc>
          <w:tcPr>
            <w:cnfStyle w:val="001000000000"/>
            <w:tcW w:w="2263" w:type="dxa"/>
            <w:shd w:val="clear" w:color="auto" w:fill="auto"/>
            <w:noWrap/>
          </w:tcPr>
          <w:p w:rsidR="00E257CE" w:rsidRPr="005B733A" w:rsidRDefault="00E257CE" w:rsidP="00E257C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TCE</w:t>
            </w:r>
          </w:p>
        </w:tc>
        <w:tc>
          <w:tcPr>
            <w:tcW w:w="2299" w:type="dxa"/>
            <w:shd w:val="clear" w:color="auto" w:fill="auto"/>
            <w:noWrap/>
          </w:tcPr>
          <w:p w:rsidR="00E257CE" w:rsidRPr="005B733A" w:rsidRDefault="00E41328">
            <w:pPr>
              <w:jc w:val="center"/>
              <w:cnfStyle w:val="0000000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2,0 ± 0,3</w:t>
            </w:r>
          </w:p>
        </w:tc>
        <w:tc>
          <w:tcPr>
            <w:tcW w:w="2335" w:type="dxa"/>
            <w:shd w:val="clear" w:color="auto" w:fill="auto"/>
            <w:noWrap/>
          </w:tcPr>
          <w:p w:rsidR="00E257CE" w:rsidRPr="005B733A" w:rsidRDefault="00E41328">
            <w:pPr>
              <w:jc w:val="center"/>
              <w:cnfStyle w:val="0000000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2,1 ± 0,5</w:t>
            </w:r>
          </w:p>
        </w:tc>
        <w:tc>
          <w:tcPr>
            <w:tcW w:w="2299" w:type="dxa"/>
            <w:shd w:val="clear" w:color="auto" w:fill="auto"/>
            <w:noWrap/>
          </w:tcPr>
          <w:p w:rsidR="00E257CE" w:rsidRPr="005B733A" w:rsidRDefault="00E41328">
            <w:pPr>
              <w:jc w:val="center"/>
              <w:cnfStyle w:val="00000000000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1,8 ±0,1</w:t>
            </w:r>
          </w:p>
        </w:tc>
      </w:tr>
    </w:tbl>
    <w:p w:rsidR="005B733A" w:rsidRPr="00FA1C48" w:rsidRDefault="00A802B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FA1C48">
        <w:rPr>
          <w:rFonts w:cs="Arial"/>
          <w:i w:val="0"/>
          <w:sz w:val="24"/>
          <w:lang w:val="pt-BR"/>
        </w:rPr>
        <w:tab/>
      </w:r>
      <w:r w:rsidRPr="00FA1C48">
        <w:rPr>
          <w:rFonts w:cs="Arial"/>
          <w:i w:val="0"/>
          <w:sz w:val="24"/>
          <w:lang w:val="pt-BR"/>
        </w:rPr>
        <w:tab/>
      </w:r>
      <w:r w:rsidRPr="00FA1C48">
        <w:rPr>
          <w:rFonts w:cs="Arial"/>
          <w:i w:val="0"/>
          <w:sz w:val="24"/>
          <w:lang w:val="pt-BR"/>
        </w:rPr>
        <w:tab/>
      </w:r>
      <w:r w:rsidRPr="00FA1C48">
        <w:rPr>
          <w:rFonts w:cs="Arial"/>
          <w:i w:val="0"/>
          <w:sz w:val="24"/>
          <w:lang w:val="pt-BR"/>
        </w:rPr>
        <w:tab/>
      </w:r>
    </w:p>
    <w:p w:rsidR="009D0723" w:rsidRPr="00FA1C48" w:rsidRDefault="00A669A7" w:rsidP="0029083B">
      <w:pPr>
        <w:pStyle w:val="Ttulodaseoprimria"/>
        <w:rPr>
          <w:rFonts w:cs="Arial"/>
          <w:sz w:val="24"/>
        </w:rPr>
      </w:pPr>
      <w:r>
        <w:rPr>
          <w:rFonts w:cs="Arial"/>
          <w:sz w:val="24"/>
        </w:rPr>
        <w:t>4</w:t>
      </w:r>
      <w:r w:rsidR="0082219D" w:rsidRPr="00FA1C48">
        <w:rPr>
          <w:rFonts w:cs="Arial"/>
          <w:sz w:val="24"/>
        </w:rPr>
        <w:t xml:space="preserve"> CONSIDERAÇÕES FINAIS</w:t>
      </w:r>
    </w:p>
    <w:p w:rsidR="009D0723" w:rsidRPr="00FA1C48" w:rsidRDefault="000B783F" w:rsidP="0029083B">
      <w:pPr>
        <w:rPr>
          <w:rFonts w:cs="Arial"/>
        </w:rPr>
      </w:pPr>
      <w:r>
        <w:rPr>
          <w:rFonts w:cs="Arial"/>
        </w:rPr>
        <w:t xml:space="preserve">Peixes palhaço podem ser </w:t>
      </w:r>
      <w:r w:rsidR="005D2755">
        <w:rPr>
          <w:rFonts w:cs="Arial"/>
        </w:rPr>
        <w:t xml:space="preserve">criados </w:t>
      </w:r>
      <w:r>
        <w:rPr>
          <w:rFonts w:cs="Arial"/>
        </w:rPr>
        <w:t xml:space="preserve">em salinidade </w:t>
      </w:r>
      <w:r w:rsidRPr="00364D0F">
        <w:rPr>
          <w:rFonts w:cs="Arial"/>
        </w:rPr>
        <w:t>15</w:t>
      </w:r>
      <w:r w:rsidR="007F4921" w:rsidRPr="00364D0F">
        <w:rPr>
          <w:rFonts w:cs="Arial"/>
        </w:rPr>
        <w:t>‰</w:t>
      </w:r>
      <w:r w:rsidRPr="00364D0F">
        <w:rPr>
          <w:rFonts w:cs="Arial"/>
        </w:rPr>
        <w:t xml:space="preserve"> sem nenhum prejuízo </w:t>
      </w:r>
      <w:r w:rsidR="005D2755" w:rsidRPr="00364D0F">
        <w:rPr>
          <w:rFonts w:cs="Arial"/>
        </w:rPr>
        <w:t xml:space="preserve">para </w:t>
      </w:r>
      <w:r w:rsidRPr="00364D0F">
        <w:rPr>
          <w:rFonts w:cs="Arial"/>
        </w:rPr>
        <w:t xml:space="preserve">a produção e com uma economia de </w:t>
      </w:r>
      <w:r w:rsidR="007F4921" w:rsidRPr="00364D0F">
        <w:rPr>
          <w:rFonts w:cs="Arial"/>
        </w:rPr>
        <w:t xml:space="preserve">57% nos custos variáveis com salinização. </w:t>
      </w:r>
      <w:r w:rsidRPr="00364D0F">
        <w:rPr>
          <w:rFonts w:cs="Arial"/>
        </w:rPr>
        <w:t>Mais estudo</w:t>
      </w:r>
      <w:r w:rsidR="00A669A7" w:rsidRPr="00364D0F">
        <w:rPr>
          <w:rFonts w:cs="Arial"/>
        </w:rPr>
        <w:t>s</w:t>
      </w:r>
      <w:r w:rsidRPr="00364D0F">
        <w:rPr>
          <w:rFonts w:cs="Arial"/>
        </w:rPr>
        <w:t xml:space="preserve"> devem ser realizados entre as salinidade 5</w:t>
      </w:r>
      <w:r w:rsidR="007F4921" w:rsidRPr="00364D0F">
        <w:rPr>
          <w:rFonts w:cs="Arial"/>
        </w:rPr>
        <w:t>‰</w:t>
      </w:r>
      <w:r w:rsidRPr="00364D0F">
        <w:rPr>
          <w:rFonts w:cs="Arial"/>
        </w:rPr>
        <w:t xml:space="preserve"> e 15</w:t>
      </w:r>
      <w:r w:rsidR="007F4921" w:rsidRPr="00364D0F">
        <w:rPr>
          <w:rFonts w:cs="Arial"/>
        </w:rPr>
        <w:t>‰</w:t>
      </w:r>
      <w:r w:rsidRPr="00364D0F">
        <w:rPr>
          <w:rFonts w:cs="Arial"/>
        </w:rPr>
        <w:t>,</w:t>
      </w:r>
      <w:r>
        <w:rPr>
          <w:rFonts w:cs="Arial"/>
        </w:rPr>
        <w:t xml:space="preserve"> </w:t>
      </w:r>
      <w:r w:rsidR="00A669A7">
        <w:rPr>
          <w:rFonts w:cs="Arial"/>
        </w:rPr>
        <w:t>para determinar a menor salinidade em que o peixe palhaço pode ser produzido</w:t>
      </w:r>
      <w:r>
        <w:rPr>
          <w:rFonts w:cs="Arial"/>
        </w:rPr>
        <w:t>.</w:t>
      </w:r>
    </w:p>
    <w:p w:rsidR="009D0723" w:rsidRPr="00D10289" w:rsidRDefault="00724BF3" w:rsidP="00CD0046">
      <w:pPr>
        <w:pStyle w:val="Ttulodaseoprimria"/>
        <w:spacing w:before="240"/>
        <w:jc w:val="left"/>
        <w:rPr>
          <w:rFonts w:cs="Arial"/>
          <w:sz w:val="24"/>
          <w:lang w:val="en-US"/>
        </w:rPr>
      </w:pPr>
      <w:r w:rsidRPr="00724BF3">
        <w:rPr>
          <w:rFonts w:cs="Arial"/>
          <w:sz w:val="24"/>
          <w:lang w:val="en-US"/>
        </w:rPr>
        <w:t>REFERÊNCIAS</w:t>
      </w:r>
    </w:p>
    <w:p w:rsidR="006949A9" w:rsidRDefault="00555F10" w:rsidP="006949A9">
      <w:pPr>
        <w:spacing w:after="240"/>
        <w:ind w:firstLine="0"/>
        <w:jc w:val="left"/>
        <w:rPr>
          <w:rFonts w:cs="Arial"/>
          <w:lang w:val="en-US"/>
        </w:rPr>
      </w:pPr>
      <w:proofErr w:type="gramStart"/>
      <w:r w:rsidRPr="00555F10">
        <w:rPr>
          <w:rFonts w:cs="Arial"/>
          <w:lang w:val="en-US"/>
        </w:rPr>
        <w:t>BOEUF, G; PAYAN, P.</w:t>
      </w:r>
      <w:proofErr w:type="gramEnd"/>
      <w:r w:rsidRPr="00555F10">
        <w:rPr>
          <w:rFonts w:cs="Arial"/>
          <w:lang w:val="en-US"/>
        </w:rPr>
        <w:t xml:space="preserve"> </w:t>
      </w:r>
      <w:r w:rsidRPr="00360709">
        <w:rPr>
          <w:rFonts w:cs="Arial"/>
          <w:b/>
          <w:lang w:val="en-US"/>
        </w:rPr>
        <w:t>How should salinity influence fish growth?</w:t>
      </w:r>
      <w:r w:rsidRPr="00D859D4">
        <w:rPr>
          <w:rFonts w:cs="Arial"/>
          <w:lang w:val="en-US"/>
        </w:rPr>
        <w:t xml:space="preserve"> Comparative Biochemistry and Physiology Part C 130: 411-423.</w:t>
      </w:r>
      <w:r w:rsidRPr="00555F10">
        <w:rPr>
          <w:rFonts w:cs="Arial"/>
          <w:lang w:val="en-US"/>
        </w:rPr>
        <w:t xml:space="preserve"> </w:t>
      </w:r>
      <w:r w:rsidRPr="00D859D4">
        <w:rPr>
          <w:rFonts w:cs="Arial"/>
          <w:lang w:val="en-US"/>
        </w:rPr>
        <w:t>2001.</w:t>
      </w:r>
    </w:p>
    <w:p w:rsidR="006949A9" w:rsidRPr="00580736" w:rsidRDefault="00555F10" w:rsidP="006949A9">
      <w:pPr>
        <w:spacing w:after="240"/>
        <w:ind w:firstLine="0"/>
        <w:jc w:val="left"/>
        <w:rPr>
          <w:rFonts w:cs="Arial"/>
        </w:rPr>
      </w:pPr>
      <w:r w:rsidRPr="00CF7FAA">
        <w:rPr>
          <w:rFonts w:cs="Arial"/>
        </w:rPr>
        <w:t xml:space="preserve">DHANEESH, </w:t>
      </w:r>
      <w:proofErr w:type="spellStart"/>
      <w:r w:rsidRPr="00CF7FAA">
        <w:rPr>
          <w:rFonts w:cs="Arial"/>
        </w:rPr>
        <w:t>K.V.</w:t>
      </w:r>
      <w:proofErr w:type="spellEnd"/>
      <w:r w:rsidRPr="00CF7FAA">
        <w:rPr>
          <w:rFonts w:cs="Arial"/>
        </w:rPr>
        <w:t xml:space="preserve">; </w:t>
      </w:r>
      <w:proofErr w:type="gramStart"/>
      <w:r w:rsidRPr="00CF7FAA">
        <w:rPr>
          <w:rFonts w:cs="Arial"/>
        </w:rPr>
        <w:t>DEVI,</w:t>
      </w:r>
      <w:proofErr w:type="gramEnd"/>
      <w:r w:rsidRPr="00CF7FAA">
        <w:rPr>
          <w:rFonts w:cs="Arial"/>
        </w:rPr>
        <w:t xml:space="preserve"> </w:t>
      </w:r>
      <w:proofErr w:type="spellStart"/>
      <w:r w:rsidRPr="00CF7FAA">
        <w:rPr>
          <w:rFonts w:cs="Arial"/>
        </w:rPr>
        <w:t>K.N.</w:t>
      </w:r>
      <w:proofErr w:type="spellEnd"/>
      <w:r w:rsidRPr="00CF7FAA">
        <w:rPr>
          <w:rFonts w:cs="Arial"/>
        </w:rPr>
        <w:t xml:space="preserve">; KUMAR, </w:t>
      </w:r>
      <w:proofErr w:type="spellStart"/>
      <w:r w:rsidRPr="00CF7FAA">
        <w:rPr>
          <w:rFonts w:cs="Arial"/>
        </w:rPr>
        <w:t>T.T.A.</w:t>
      </w:r>
      <w:proofErr w:type="spellEnd"/>
      <w:r w:rsidRPr="00CF7FAA">
        <w:rPr>
          <w:rFonts w:cs="Arial"/>
        </w:rPr>
        <w:t>; BALASUBRAMANIAN, T.; TISSERA</w:t>
      </w:r>
      <w:r w:rsidR="00724BF3">
        <w:rPr>
          <w:rFonts w:cs="Arial"/>
        </w:rPr>
        <w:t xml:space="preserve">, </w:t>
      </w:r>
      <w:proofErr w:type="spellStart"/>
      <w:r w:rsidR="00724BF3">
        <w:rPr>
          <w:rFonts w:cs="Arial"/>
        </w:rPr>
        <w:t>K.</w:t>
      </w:r>
      <w:proofErr w:type="spellEnd"/>
      <w:r w:rsidR="00724BF3">
        <w:rPr>
          <w:rFonts w:cs="Arial"/>
        </w:rPr>
        <w:t xml:space="preserve">. </w:t>
      </w:r>
      <w:r w:rsidRPr="00360709">
        <w:rPr>
          <w:rFonts w:cs="Arial"/>
          <w:b/>
          <w:lang w:val="en-US"/>
        </w:rPr>
        <w:t xml:space="preserve">Breeding, embryonic development and salinity tolerance of Skunk clownfish </w:t>
      </w:r>
      <w:proofErr w:type="spellStart"/>
      <w:r w:rsidRPr="00360709">
        <w:rPr>
          <w:rFonts w:cs="Arial"/>
          <w:b/>
          <w:i/>
          <w:lang w:val="en-US"/>
        </w:rPr>
        <w:t>Amphiprion</w:t>
      </w:r>
      <w:proofErr w:type="spellEnd"/>
      <w:r w:rsidRPr="00360709">
        <w:rPr>
          <w:rFonts w:cs="Arial"/>
          <w:b/>
          <w:i/>
          <w:lang w:val="en-US"/>
        </w:rPr>
        <w:t xml:space="preserve"> </w:t>
      </w:r>
      <w:proofErr w:type="spellStart"/>
      <w:r w:rsidRPr="00360709">
        <w:rPr>
          <w:rFonts w:cs="Arial"/>
          <w:b/>
          <w:i/>
          <w:lang w:val="en-US"/>
        </w:rPr>
        <w:t>akallopisos</w:t>
      </w:r>
      <w:proofErr w:type="spellEnd"/>
      <w:r w:rsidRPr="00580736">
        <w:rPr>
          <w:rFonts w:cs="Arial"/>
          <w:i/>
          <w:lang w:val="en-US"/>
        </w:rPr>
        <w:t xml:space="preserve">. </w:t>
      </w:r>
      <w:proofErr w:type="spellStart"/>
      <w:r w:rsidRPr="00580736">
        <w:rPr>
          <w:rFonts w:cs="Arial"/>
        </w:rPr>
        <w:t>Journal</w:t>
      </w:r>
      <w:proofErr w:type="spellEnd"/>
      <w:r w:rsidRPr="00580736">
        <w:rPr>
          <w:rFonts w:cs="Arial"/>
        </w:rPr>
        <w:t xml:space="preserve"> </w:t>
      </w:r>
      <w:proofErr w:type="spellStart"/>
      <w:r w:rsidRPr="00580736">
        <w:rPr>
          <w:rFonts w:cs="Arial"/>
        </w:rPr>
        <w:t>of</w:t>
      </w:r>
      <w:proofErr w:type="spellEnd"/>
      <w:r w:rsidRPr="00580736">
        <w:rPr>
          <w:rFonts w:cs="Arial"/>
        </w:rPr>
        <w:t xml:space="preserve"> King </w:t>
      </w:r>
      <w:proofErr w:type="spellStart"/>
      <w:r w:rsidRPr="00580736">
        <w:rPr>
          <w:rFonts w:cs="Arial"/>
        </w:rPr>
        <w:t>Saud</w:t>
      </w:r>
      <w:proofErr w:type="spellEnd"/>
      <w:r w:rsidRPr="00580736">
        <w:rPr>
          <w:rFonts w:cs="Arial"/>
        </w:rPr>
        <w:t xml:space="preserve"> </w:t>
      </w:r>
      <w:proofErr w:type="spellStart"/>
      <w:r w:rsidRPr="00580736">
        <w:rPr>
          <w:rFonts w:cs="Arial"/>
        </w:rPr>
        <w:t>University</w:t>
      </w:r>
      <w:proofErr w:type="spellEnd"/>
      <w:r w:rsidRPr="00580736">
        <w:rPr>
          <w:rFonts w:cs="Arial"/>
        </w:rPr>
        <w:t xml:space="preserve"> – </w:t>
      </w:r>
      <w:proofErr w:type="spellStart"/>
      <w:r w:rsidRPr="00580736">
        <w:rPr>
          <w:rFonts w:cs="Arial"/>
        </w:rPr>
        <w:t>Science</w:t>
      </w:r>
      <w:proofErr w:type="spellEnd"/>
      <w:r w:rsidRPr="00580736">
        <w:rPr>
          <w:rFonts w:cs="Arial"/>
        </w:rPr>
        <w:t>.</w:t>
      </w:r>
      <w:r>
        <w:rPr>
          <w:rFonts w:cs="Arial"/>
        </w:rPr>
        <w:t xml:space="preserve"> 24: 201-209.</w:t>
      </w:r>
      <w:r w:rsidRPr="00555F10">
        <w:rPr>
          <w:rFonts w:cs="Arial"/>
        </w:rPr>
        <w:t xml:space="preserve"> </w:t>
      </w:r>
      <w:r w:rsidRPr="00360709">
        <w:rPr>
          <w:rFonts w:cs="Arial"/>
        </w:rPr>
        <w:t>2012</w:t>
      </w:r>
    </w:p>
    <w:p w:rsidR="00555F10" w:rsidRDefault="00555F10" w:rsidP="006949A9">
      <w:pPr>
        <w:spacing w:after="240"/>
        <w:ind w:firstLine="0"/>
        <w:jc w:val="left"/>
        <w:rPr>
          <w:rFonts w:cs="Arial"/>
        </w:rPr>
      </w:pPr>
      <w:proofErr w:type="gramStart"/>
      <w:r w:rsidRPr="00580736">
        <w:rPr>
          <w:rFonts w:cs="Arial"/>
          <w:lang w:val="en-US"/>
        </w:rPr>
        <w:t>FAO</w:t>
      </w:r>
      <w:r>
        <w:rPr>
          <w:rFonts w:cs="Arial"/>
          <w:lang w:val="en-US"/>
        </w:rPr>
        <w:t>.</w:t>
      </w:r>
      <w:proofErr w:type="gramEnd"/>
      <w:r w:rsidRPr="00580736">
        <w:rPr>
          <w:rFonts w:cs="Arial"/>
          <w:lang w:val="en-US"/>
        </w:rPr>
        <w:t xml:space="preserve"> </w:t>
      </w:r>
      <w:proofErr w:type="gramStart"/>
      <w:r w:rsidRPr="00360709">
        <w:rPr>
          <w:rFonts w:cs="Arial"/>
          <w:b/>
          <w:lang w:val="en-US"/>
        </w:rPr>
        <w:t>The State of World Fisheries and Aquaculture 2006</w:t>
      </w:r>
      <w:r w:rsidRPr="00580736">
        <w:rPr>
          <w:rFonts w:cs="Arial"/>
          <w:lang w:val="en-US"/>
        </w:rPr>
        <w:t>.</w:t>
      </w:r>
      <w:proofErr w:type="gramEnd"/>
      <w:r w:rsidRPr="00580736">
        <w:rPr>
          <w:rFonts w:cs="Arial"/>
          <w:lang w:val="en-US"/>
        </w:rPr>
        <w:t xml:space="preserve"> </w:t>
      </w:r>
      <w:proofErr w:type="spellStart"/>
      <w:r w:rsidR="00724BF3" w:rsidRPr="00724BF3">
        <w:rPr>
          <w:rFonts w:cs="Arial"/>
        </w:rPr>
        <w:t>Fisheries</w:t>
      </w:r>
      <w:proofErr w:type="spellEnd"/>
      <w:r w:rsidR="00724BF3" w:rsidRPr="00724BF3">
        <w:rPr>
          <w:rFonts w:cs="Arial"/>
        </w:rPr>
        <w:t xml:space="preserve"> </w:t>
      </w:r>
      <w:proofErr w:type="spellStart"/>
      <w:r w:rsidR="00724BF3" w:rsidRPr="00724BF3">
        <w:rPr>
          <w:rFonts w:cs="Arial"/>
        </w:rPr>
        <w:t>and</w:t>
      </w:r>
      <w:proofErr w:type="spellEnd"/>
      <w:r w:rsidR="00724BF3" w:rsidRPr="00724BF3">
        <w:rPr>
          <w:rFonts w:cs="Arial"/>
        </w:rPr>
        <w:t xml:space="preserve"> </w:t>
      </w:r>
      <w:proofErr w:type="spellStart"/>
      <w:r w:rsidR="00724BF3" w:rsidRPr="00724BF3">
        <w:rPr>
          <w:rFonts w:cs="Arial"/>
        </w:rPr>
        <w:t>Aquaculture</w:t>
      </w:r>
      <w:proofErr w:type="spellEnd"/>
      <w:r w:rsidR="00724BF3" w:rsidRPr="00724BF3">
        <w:rPr>
          <w:rFonts w:cs="Arial"/>
        </w:rPr>
        <w:t xml:space="preserve"> </w:t>
      </w:r>
      <w:proofErr w:type="spellStart"/>
      <w:r w:rsidR="00724BF3" w:rsidRPr="00724BF3">
        <w:rPr>
          <w:rFonts w:cs="Arial"/>
        </w:rPr>
        <w:t>Department</w:t>
      </w:r>
      <w:proofErr w:type="spellEnd"/>
      <w:r w:rsidR="00724BF3" w:rsidRPr="00724BF3">
        <w:rPr>
          <w:rFonts w:cs="Arial"/>
        </w:rPr>
        <w:t xml:space="preserve">. </w:t>
      </w:r>
      <w:proofErr w:type="spellStart"/>
      <w:r w:rsidRPr="00580736">
        <w:rPr>
          <w:rFonts w:cs="Arial"/>
        </w:rPr>
        <w:t>Rome</w:t>
      </w:r>
      <w:proofErr w:type="spellEnd"/>
      <w:r>
        <w:rPr>
          <w:rFonts w:cs="Arial"/>
        </w:rPr>
        <w:t xml:space="preserve">. </w:t>
      </w:r>
      <w:r w:rsidRPr="00555F10">
        <w:rPr>
          <w:rFonts w:cs="Arial"/>
        </w:rPr>
        <w:t>2007.</w:t>
      </w:r>
      <w:r w:rsidRPr="00580736">
        <w:rPr>
          <w:rFonts w:cs="Arial"/>
        </w:rPr>
        <w:t xml:space="preserve"> disponível em: </w:t>
      </w:r>
      <w:hyperlink r:id="rId8" w:history="1">
        <w:r w:rsidRPr="00580736">
          <w:rPr>
            <w:rStyle w:val="Hyperlink"/>
            <w:rFonts w:cs="Arial"/>
          </w:rPr>
          <w:t>ftp://ftp.fao.org/docrep/fao/009/a0699e/a0699e.pdf</w:t>
        </w:r>
      </w:hyperlink>
      <w:r w:rsidRPr="00580736">
        <w:rPr>
          <w:rFonts w:cs="Arial"/>
        </w:rPr>
        <w:t xml:space="preserve"> Acesso em: 31/12/2013.</w:t>
      </w:r>
    </w:p>
    <w:p w:rsidR="00555F10" w:rsidRPr="00580736" w:rsidRDefault="00555F10" w:rsidP="006949A9">
      <w:pPr>
        <w:spacing w:after="240"/>
        <w:ind w:firstLine="0"/>
        <w:jc w:val="left"/>
        <w:rPr>
          <w:rFonts w:cs="Arial"/>
          <w:lang w:val="en-US"/>
        </w:rPr>
      </w:pPr>
      <w:r w:rsidRPr="00580736">
        <w:rPr>
          <w:rFonts w:cs="Arial"/>
        </w:rPr>
        <w:t xml:space="preserve">RIBEIRO, </w:t>
      </w:r>
      <w:proofErr w:type="spellStart"/>
      <w:r w:rsidRPr="00580736">
        <w:rPr>
          <w:rFonts w:cs="Arial"/>
        </w:rPr>
        <w:t>F</w:t>
      </w:r>
      <w:r>
        <w:rPr>
          <w:rFonts w:cs="Arial"/>
        </w:rPr>
        <w:t>.</w:t>
      </w:r>
      <w:r w:rsidRPr="00580736">
        <w:rPr>
          <w:rFonts w:cs="Arial"/>
        </w:rPr>
        <w:t>A</w:t>
      </w:r>
      <w:r>
        <w:rPr>
          <w:rFonts w:cs="Arial"/>
        </w:rPr>
        <w:t>.</w:t>
      </w:r>
      <w:proofErr w:type="spellEnd"/>
      <w:r>
        <w:rPr>
          <w:rFonts w:cs="Arial"/>
        </w:rPr>
        <w:t>S;</w:t>
      </w:r>
      <w:r w:rsidRPr="00580736">
        <w:rPr>
          <w:rFonts w:cs="Arial"/>
        </w:rPr>
        <w:t xml:space="preserve"> RODRIGUES</w:t>
      </w:r>
      <w:r>
        <w:rPr>
          <w:rFonts w:cs="Arial"/>
        </w:rPr>
        <w:t>,</w:t>
      </w:r>
      <w:r w:rsidRPr="00360709">
        <w:rPr>
          <w:rFonts w:cs="Arial"/>
        </w:rPr>
        <w:t xml:space="preserve"> </w:t>
      </w:r>
      <w:proofErr w:type="spellStart"/>
      <w:r w:rsidRPr="00580736">
        <w:rPr>
          <w:rFonts w:cs="Arial"/>
        </w:rPr>
        <w:t>L</w:t>
      </w:r>
      <w:r>
        <w:rPr>
          <w:rFonts w:cs="Arial"/>
        </w:rPr>
        <w:t>.</w:t>
      </w:r>
      <w:r w:rsidRPr="00580736">
        <w:rPr>
          <w:rFonts w:cs="Arial"/>
        </w:rPr>
        <w:t>A</w:t>
      </w:r>
      <w:r>
        <w:rPr>
          <w:rFonts w:cs="Arial"/>
        </w:rPr>
        <w:t>.</w:t>
      </w:r>
      <w:proofErr w:type="spellEnd"/>
      <w:r>
        <w:rPr>
          <w:rFonts w:cs="Arial"/>
        </w:rPr>
        <w:t>;</w:t>
      </w:r>
      <w:r w:rsidRPr="00580736">
        <w:rPr>
          <w:rFonts w:cs="Arial"/>
        </w:rPr>
        <w:t xml:space="preserve"> FERNANDES</w:t>
      </w:r>
      <w:r>
        <w:rPr>
          <w:rFonts w:cs="Arial"/>
        </w:rPr>
        <w:t>,</w:t>
      </w:r>
      <w:r w:rsidRPr="00360709">
        <w:rPr>
          <w:rFonts w:cs="Arial"/>
        </w:rPr>
        <w:t xml:space="preserve"> </w:t>
      </w:r>
      <w:proofErr w:type="spellStart"/>
      <w:r w:rsidRPr="00580736">
        <w:rPr>
          <w:rFonts w:cs="Arial"/>
        </w:rPr>
        <w:t>J</w:t>
      </w:r>
      <w:r>
        <w:rPr>
          <w:rFonts w:cs="Arial"/>
        </w:rPr>
        <w:t>.</w:t>
      </w:r>
      <w:r w:rsidRPr="00580736">
        <w:rPr>
          <w:rFonts w:cs="Arial"/>
        </w:rPr>
        <w:t>B</w:t>
      </w:r>
      <w:r>
        <w:rPr>
          <w:rFonts w:cs="Arial"/>
        </w:rPr>
        <w:t>.</w:t>
      </w:r>
      <w:r w:rsidRPr="00580736">
        <w:rPr>
          <w:rFonts w:cs="Arial"/>
        </w:rPr>
        <w:t>K.</w:t>
      </w:r>
      <w:proofErr w:type="spellEnd"/>
      <w:r w:rsidRPr="00580736">
        <w:rPr>
          <w:rFonts w:cs="Arial"/>
        </w:rPr>
        <w:t xml:space="preserve"> </w:t>
      </w:r>
      <w:r w:rsidRPr="00360709">
        <w:rPr>
          <w:rFonts w:cs="Arial"/>
          <w:b/>
        </w:rPr>
        <w:t xml:space="preserve">Desempenho de juvenis de Acará-Bandeira </w:t>
      </w:r>
      <w:r w:rsidRPr="00360709">
        <w:rPr>
          <w:rFonts w:cs="Arial"/>
          <w:b/>
          <w:i/>
          <w:iCs/>
        </w:rPr>
        <w:t>(</w:t>
      </w:r>
      <w:proofErr w:type="spellStart"/>
      <w:r w:rsidRPr="00360709">
        <w:rPr>
          <w:rFonts w:cs="Arial"/>
          <w:b/>
          <w:i/>
          <w:iCs/>
        </w:rPr>
        <w:t>Pterophylum</w:t>
      </w:r>
      <w:proofErr w:type="spellEnd"/>
      <w:r w:rsidRPr="00360709">
        <w:rPr>
          <w:rFonts w:cs="Arial"/>
          <w:b/>
          <w:i/>
          <w:iCs/>
        </w:rPr>
        <w:t xml:space="preserve"> </w:t>
      </w:r>
      <w:proofErr w:type="spellStart"/>
      <w:r w:rsidRPr="00360709">
        <w:rPr>
          <w:rFonts w:cs="Arial"/>
          <w:b/>
          <w:i/>
          <w:iCs/>
        </w:rPr>
        <w:t>scalare</w:t>
      </w:r>
      <w:proofErr w:type="spellEnd"/>
      <w:r w:rsidRPr="00360709">
        <w:rPr>
          <w:rFonts w:cs="Arial"/>
          <w:b/>
          <w:i/>
          <w:iCs/>
        </w:rPr>
        <w:t xml:space="preserve">) </w:t>
      </w:r>
      <w:r w:rsidRPr="00360709">
        <w:rPr>
          <w:rFonts w:cs="Arial"/>
          <w:b/>
        </w:rPr>
        <w:t>com diferentes níveis de proteína na dieta</w:t>
      </w:r>
      <w:r w:rsidRPr="00580736">
        <w:rPr>
          <w:rFonts w:cs="Arial"/>
        </w:rPr>
        <w:t xml:space="preserve">. </w:t>
      </w:r>
      <w:proofErr w:type="spellStart"/>
      <w:r w:rsidRPr="00580736">
        <w:rPr>
          <w:rFonts w:cs="Arial"/>
          <w:bCs/>
          <w:lang w:val="en-US"/>
        </w:rPr>
        <w:t>Boletim</w:t>
      </w:r>
      <w:proofErr w:type="spellEnd"/>
      <w:r w:rsidRPr="00580736">
        <w:rPr>
          <w:rFonts w:cs="Arial"/>
          <w:bCs/>
          <w:lang w:val="en-US"/>
        </w:rPr>
        <w:t xml:space="preserve"> </w:t>
      </w:r>
      <w:proofErr w:type="spellStart"/>
      <w:r w:rsidRPr="00580736">
        <w:rPr>
          <w:rFonts w:cs="Arial"/>
          <w:bCs/>
          <w:lang w:val="en-US"/>
        </w:rPr>
        <w:t>Instituto</w:t>
      </w:r>
      <w:proofErr w:type="spellEnd"/>
      <w:r w:rsidRPr="00580736">
        <w:rPr>
          <w:rFonts w:cs="Arial"/>
          <w:bCs/>
          <w:lang w:val="en-US"/>
        </w:rPr>
        <w:t xml:space="preserve"> de </w:t>
      </w:r>
      <w:proofErr w:type="spellStart"/>
      <w:r w:rsidRPr="00580736">
        <w:rPr>
          <w:rFonts w:cs="Arial"/>
          <w:bCs/>
          <w:lang w:val="en-US"/>
        </w:rPr>
        <w:t>Pesca</w:t>
      </w:r>
      <w:proofErr w:type="spellEnd"/>
      <w:r w:rsidRPr="00580736">
        <w:rPr>
          <w:rFonts w:cs="Arial"/>
          <w:bCs/>
          <w:lang w:val="en-US"/>
        </w:rPr>
        <w:t>,</w:t>
      </w:r>
      <w:r w:rsidRPr="00580736">
        <w:rPr>
          <w:rFonts w:cs="Arial"/>
          <w:b/>
          <w:bCs/>
          <w:lang w:val="en-US"/>
        </w:rPr>
        <w:t xml:space="preserve"> </w:t>
      </w:r>
      <w:r w:rsidRPr="00580736">
        <w:rPr>
          <w:rFonts w:cs="Arial"/>
          <w:lang w:val="en-US"/>
        </w:rPr>
        <w:t>33 (2): 195-203.</w:t>
      </w:r>
      <w:r w:rsidRPr="00555F10">
        <w:rPr>
          <w:rFonts w:cs="Arial"/>
          <w:lang w:val="en-US"/>
        </w:rPr>
        <w:t xml:space="preserve"> 2007.</w:t>
      </w:r>
    </w:p>
    <w:p w:rsidR="00555F10" w:rsidRPr="000B783F" w:rsidRDefault="00555F10" w:rsidP="006949A9">
      <w:pPr>
        <w:spacing w:after="240"/>
        <w:ind w:firstLine="0"/>
        <w:jc w:val="left"/>
        <w:rPr>
          <w:rFonts w:cs="Arial"/>
        </w:rPr>
      </w:pPr>
      <w:r w:rsidRPr="00580736">
        <w:rPr>
          <w:rFonts w:cs="Arial"/>
          <w:lang w:val="en-US"/>
        </w:rPr>
        <w:t xml:space="preserve">TLUSTY, M. </w:t>
      </w:r>
      <w:proofErr w:type="gramStart"/>
      <w:r w:rsidRPr="00360709">
        <w:rPr>
          <w:rFonts w:cs="Arial"/>
          <w:b/>
          <w:lang w:val="en-US"/>
        </w:rPr>
        <w:t xml:space="preserve">The benefits and risks of </w:t>
      </w:r>
      <w:proofErr w:type="spellStart"/>
      <w:r w:rsidRPr="00360709">
        <w:rPr>
          <w:rFonts w:cs="Arial"/>
          <w:b/>
          <w:lang w:val="en-US"/>
        </w:rPr>
        <w:t>aquacultural</w:t>
      </w:r>
      <w:proofErr w:type="spellEnd"/>
      <w:r w:rsidRPr="00360709">
        <w:rPr>
          <w:rFonts w:cs="Arial"/>
          <w:b/>
          <w:lang w:val="en-US"/>
        </w:rPr>
        <w:t xml:space="preserve"> production for the aquarium trade.</w:t>
      </w:r>
      <w:proofErr w:type="gramEnd"/>
      <w:r w:rsidRPr="00580736">
        <w:rPr>
          <w:rFonts w:cs="Arial"/>
          <w:lang w:val="en-US"/>
        </w:rPr>
        <w:t xml:space="preserve"> </w:t>
      </w:r>
      <w:proofErr w:type="gramStart"/>
      <w:r w:rsidRPr="00555F10">
        <w:rPr>
          <w:rFonts w:cs="Arial"/>
          <w:lang w:val="en-US"/>
        </w:rPr>
        <w:t>Aquaculture 205: 203– 219.</w:t>
      </w:r>
      <w:proofErr w:type="gramEnd"/>
      <w:r w:rsidRPr="00555F10">
        <w:rPr>
          <w:rFonts w:cs="Arial"/>
          <w:lang w:val="en-US"/>
        </w:rPr>
        <w:t xml:space="preserve"> </w:t>
      </w:r>
      <w:r w:rsidRPr="00580736">
        <w:rPr>
          <w:rFonts w:cs="Arial"/>
          <w:lang w:val="en-US"/>
        </w:rPr>
        <w:t>2002.</w:t>
      </w:r>
    </w:p>
    <w:sectPr w:rsidR="00555F10" w:rsidRPr="000B783F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C9" w:rsidRDefault="00F918C9" w:rsidP="00B11590">
      <w:r>
        <w:separator/>
      </w:r>
    </w:p>
  </w:endnote>
  <w:endnote w:type="continuationSeparator" w:id="0">
    <w:p w:rsidR="00F918C9" w:rsidRDefault="00F918C9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CD" w:rsidRDefault="00AB08C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CD" w:rsidRDefault="00AB08C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CD" w:rsidRDefault="00AB08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C9" w:rsidRDefault="00F918C9" w:rsidP="00B11590">
      <w:r>
        <w:separator/>
      </w:r>
    </w:p>
  </w:footnote>
  <w:footnote w:type="continuationSeparator" w:id="0">
    <w:p w:rsidR="00F918C9" w:rsidRDefault="00F918C9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CD" w:rsidRDefault="00AB08C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CD" w:rsidRPr="00E10B97" w:rsidRDefault="00AB08CD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AB08CD" w:rsidRDefault="00AB08CD" w:rsidP="00D141AD">
    <w:pPr>
      <w:pStyle w:val="Cabealho"/>
      <w:jc w:val="left"/>
      <w:rPr>
        <w:rStyle w:val="Forte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AB08CD" w:rsidRPr="00D141AD" w:rsidRDefault="00AB08C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AB08CD" w:rsidRDefault="00AB08CD" w:rsidP="00F34C67">
    <w:pPr>
      <w:pStyle w:val="Cabealho"/>
      <w:jc w:val="left"/>
      <w:rPr>
        <w:rStyle w:val="Fort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CD" w:rsidRDefault="00AB08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11619"/>
    <w:rsid w:val="00012612"/>
    <w:rsid w:val="00032A02"/>
    <w:rsid w:val="000413A6"/>
    <w:rsid w:val="000701BB"/>
    <w:rsid w:val="000B214C"/>
    <w:rsid w:val="000B475C"/>
    <w:rsid w:val="000B783F"/>
    <w:rsid w:val="000C7BF0"/>
    <w:rsid w:val="000E6914"/>
    <w:rsid w:val="000F630E"/>
    <w:rsid w:val="0012354B"/>
    <w:rsid w:val="00125006"/>
    <w:rsid w:val="00151582"/>
    <w:rsid w:val="00185FE1"/>
    <w:rsid w:val="001A10FF"/>
    <w:rsid w:val="001A3CAE"/>
    <w:rsid w:val="001C4D2D"/>
    <w:rsid w:val="001C7B8C"/>
    <w:rsid w:val="001C7EAD"/>
    <w:rsid w:val="001E496B"/>
    <w:rsid w:val="00203D0A"/>
    <w:rsid w:val="00210717"/>
    <w:rsid w:val="002348C1"/>
    <w:rsid w:val="0024774D"/>
    <w:rsid w:val="0029083B"/>
    <w:rsid w:val="002A7A57"/>
    <w:rsid w:val="002C0047"/>
    <w:rsid w:val="00310067"/>
    <w:rsid w:val="00316E95"/>
    <w:rsid w:val="00317AA5"/>
    <w:rsid w:val="003220E0"/>
    <w:rsid w:val="003228FC"/>
    <w:rsid w:val="00326667"/>
    <w:rsid w:val="0032679F"/>
    <w:rsid w:val="00360709"/>
    <w:rsid w:val="00364D0F"/>
    <w:rsid w:val="003A68AA"/>
    <w:rsid w:val="003C0392"/>
    <w:rsid w:val="003F57F5"/>
    <w:rsid w:val="003F71F9"/>
    <w:rsid w:val="00450C0F"/>
    <w:rsid w:val="004615AB"/>
    <w:rsid w:val="0048322C"/>
    <w:rsid w:val="00493589"/>
    <w:rsid w:val="004A5ABE"/>
    <w:rsid w:val="004A5DBF"/>
    <w:rsid w:val="004D0223"/>
    <w:rsid w:val="004D5D7A"/>
    <w:rsid w:val="004F7A69"/>
    <w:rsid w:val="00520FB9"/>
    <w:rsid w:val="00546ECA"/>
    <w:rsid w:val="00555F10"/>
    <w:rsid w:val="00580736"/>
    <w:rsid w:val="005A6024"/>
    <w:rsid w:val="005B733A"/>
    <w:rsid w:val="005C0D17"/>
    <w:rsid w:val="005D05DE"/>
    <w:rsid w:val="005D19E3"/>
    <w:rsid w:val="005D2755"/>
    <w:rsid w:val="005F1C80"/>
    <w:rsid w:val="005F6959"/>
    <w:rsid w:val="006127DD"/>
    <w:rsid w:val="00616FAD"/>
    <w:rsid w:val="0063122C"/>
    <w:rsid w:val="00645712"/>
    <w:rsid w:val="00686C8D"/>
    <w:rsid w:val="006949A9"/>
    <w:rsid w:val="006A4184"/>
    <w:rsid w:val="006E1D09"/>
    <w:rsid w:val="006F1A5E"/>
    <w:rsid w:val="006F2F51"/>
    <w:rsid w:val="006F6A70"/>
    <w:rsid w:val="0070021A"/>
    <w:rsid w:val="007038F8"/>
    <w:rsid w:val="00706F54"/>
    <w:rsid w:val="00710A35"/>
    <w:rsid w:val="00711AA3"/>
    <w:rsid w:val="0071454E"/>
    <w:rsid w:val="00724A7E"/>
    <w:rsid w:val="00724BF3"/>
    <w:rsid w:val="00724DEC"/>
    <w:rsid w:val="00731B6A"/>
    <w:rsid w:val="00744C05"/>
    <w:rsid w:val="007C2D07"/>
    <w:rsid w:val="007D2241"/>
    <w:rsid w:val="007F4921"/>
    <w:rsid w:val="0082219D"/>
    <w:rsid w:val="00847DF1"/>
    <w:rsid w:val="008542A8"/>
    <w:rsid w:val="00890CED"/>
    <w:rsid w:val="008D7A61"/>
    <w:rsid w:val="00941544"/>
    <w:rsid w:val="009B0959"/>
    <w:rsid w:val="009D0723"/>
    <w:rsid w:val="009D3CF8"/>
    <w:rsid w:val="009F1118"/>
    <w:rsid w:val="00A53834"/>
    <w:rsid w:val="00A56E01"/>
    <w:rsid w:val="00A669A7"/>
    <w:rsid w:val="00A70DC5"/>
    <w:rsid w:val="00A74A12"/>
    <w:rsid w:val="00A756D1"/>
    <w:rsid w:val="00A771C1"/>
    <w:rsid w:val="00A802B0"/>
    <w:rsid w:val="00A83E52"/>
    <w:rsid w:val="00AA7030"/>
    <w:rsid w:val="00AB08CD"/>
    <w:rsid w:val="00AD1709"/>
    <w:rsid w:val="00B11590"/>
    <w:rsid w:val="00B35513"/>
    <w:rsid w:val="00B676EB"/>
    <w:rsid w:val="00BC5D5D"/>
    <w:rsid w:val="00BE7921"/>
    <w:rsid w:val="00C00D54"/>
    <w:rsid w:val="00C16DD6"/>
    <w:rsid w:val="00C341B4"/>
    <w:rsid w:val="00C47B84"/>
    <w:rsid w:val="00C77351"/>
    <w:rsid w:val="00C9167F"/>
    <w:rsid w:val="00C950B7"/>
    <w:rsid w:val="00CC3E16"/>
    <w:rsid w:val="00CD0046"/>
    <w:rsid w:val="00CD1774"/>
    <w:rsid w:val="00CE510B"/>
    <w:rsid w:val="00CF1B19"/>
    <w:rsid w:val="00CF7FAA"/>
    <w:rsid w:val="00D10289"/>
    <w:rsid w:val="00D141AD"/>
    <w:rsid w:val="00D25A87"/>
    <w:rsid w:val="00D34237"/>
    <w:rsid w:val="00D43862"/>
    <w:rsid w:val="00D740C6"/>
    <w:rsid w:val="00D753F3"/>
    <w:rsid w:val="00D859D4"/>
    <w:rsid w:val="00D862B6"/>
    <w:rsid w:val="00DD1B99"/>
    <w:rsid w:val="00DE6963"/>
    <w:rsid w:val="00E01295"/>
    <w:rsid w:val="00E10B97"/>
    <w:rsid w:val="00E257CE"/>
    <w:rsid w:val="00E26928"/>
    <w:rsid w:val="00E32D52"/>
    <w:rsid w:val="00E33B6C"/>
    <w:rsid w:val="00E41328"/>
    <w:rsid w:val="00E91991"/>
    <w:rsid w:val="00E9203E"/>
    <w:rsid w:val="00EA51E0"/>
    <w:rsid w:val="00EB13F7"/>
    <w:rsid w:val="00EC5F3B"/>
    <w:rsid w:val="00EE4F43"/>
    <w:rsid w:val="00F01D71"/>
    <w:rsid w:val="00F32619"/>
    <w:rsid w:val="00F34C67"/>
    <w:rsid w:val="00F56270"/>
    <w:rsid w:val="00F6231C"/>
    <w:rsid w:val="00F65AE9"/>
    <w:rsid w:val="00F70780"/>
    <w:rsid w:val="00F8592D"/>
    <w:rsid w:val="00F918C9"/>
    <w:rsid w:val="00FA1C48"/>
    <w:rsid w:val="00FB279D"/>
    <w:rsid w:val="00FB3E05"/>
    <w:rsid w:val="00FD48B4"/>
    <w:rsid w:val="00FD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table" w:customStyle="1" w:styleId="LightShading1">
    <w:name w:val="Light Shading1"/>
    <w:basedOn w:val="Tabelanormal"/>
    <w:uiPriority w:val="60"/>
    <w:rsid w:val="000B475C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669A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9A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9A7"/>
    <w:rPr>
      <w:rFonts w:ascii="Arial" w:eastAsia="Arial Unicode MS" w:hAnsi="Arial"/>
      <w:kern w:val="1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9A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fao.org/docrep/fao/009/a0699e/a0699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oiddc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382B-E8FF-4D1A-83DE-4DD00B92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Aspire1410</cp:lastModifiedBy>
  <cp:revision>7</cp:revision>
  <cp:lastPrinted>2013-05-31T18:34:00Z</cp:lastPrinted>
  <dcterms:created xsi:type="dcterms:W3CDTF">2014-07-31T18:10:00Z</dcterms:created>
  <dcterms:modified xsi:type="dcterms:W3CDTF">2014-08-01T15:19:00Z</dcterms:modified>
</cp:coreProperties>
</file>