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2" w:rsidRDefault="00585002" w:rsidP="00D25913">
      <w:pPr>
        <w:ind w:firstLine="0"/>
        <w:jc w:val="center"/>
        <w:rPr>
          <w:rFonts w:eastAsia="Arial" w:cs="Arial"/>
          <w:b/>
          <w:bCs/>
        </w:rPr>
      </w:pPr>
    </w:p>
    <w:p w:rsidR="00D25913" w:rsidRPr="00D25913" w:rsidRDefault="00D25913" w:rsidP="00D25913">
      <w:pPr>
        <w:ind w:firstLine="0"/>
        <w:jc w:val="center"/>
        <w:rPr>
          <w:rFonts w:eastAsia="Arial" w:cs="Arial"/>
          <w:b/>
          <w:bCs/>
        </w:rPr>
      </w:pPr>
      <w:r w:rsidRPr="00D25913">
        <w:rPr>
          <w:rFonts w:eastAsia="Arial" w:cs="Arial"/>
          <w:b/>
          <w:bCs/>
        </w:rPr>
        <w:t xml:space="preserve">AS EMENDAS PARLAMENTARES </w:t>
      </w:r>
      <w:r w:rsidR="00620727">
        <w:rPr>
          <w:rFonts w:eastAsia="Arial" w:cs="Arial"/>
          <w:b/>
          <w:bCs/>
        </w:rPr>
        <w:t xml:space="preserve">INDIVIDUAIS </w:t>
      </w:r>
      <w:r>
        <w:rPr>
          <w:rFonts w:eastAsia="Arial" w:cs="Arial"/>
          <w:b/>
          <w:bCs/>
        </w:rPr>
        <w:t xml:space="preserve">E </w:t>
      </w:r>
      <w:r w:rsidR="001C0732">
        <w:rPr>
          <w:rFonts w:eastAsia="Arial" w:cs="Arial"/>
          <w:b/>
          <w:bCs/>
        </w:rPr>
        <w:t xml:space="preserve">A </w:t>
      </w:r>
      <w:r w:rsidR="00585002">
        <w:rPr>
          <w:rFonts w:eastAsia="Arial" w:cs="Arial"/>
          <w:b/>
          <w:bCs/>
        </w:rPr>
        <w:t xml:space="preserve">MITIGAÇÃO </w:t>
      </w:r>
      <w:r w:rsidR="001C0732">
        <w:rPr>
          <w:rFonts w:eastAsia="Arial" w:cs="Arial"/>
          <w:b/>
          <w:bCs/>
        </w:rPr>
        <w:t>DA</w:t>
      </w:r>
      <w:r w:rsidRPr="00D25913">
        <w:rPr>
          <w:rFonts w:eastAsia="Arial" w:cs="Arial"/>
          <w:b/>
          <w:bCs/>
        </w:rPr>
        <w:t xml:space="preserve"> AUTONOMIA MUNICIPAL</w:t>
      </w:r>
    </w:p>
    <w:p w:rsidR="0029083B" w:rsidRPr="002F6008" w:rsidRDefault="0029083B" w:rsidP="0029083B">
      <w:pPr>
        <w:ind w:firstLine="0"/>
        <w:jc w:val="right"/>
        <w:rPr>
          <w:rFonts w:cs="Arial"/>
          <w:b/>
        </w:rPr>
      </w:pPr>
    </w:p>
    <w:p w:rsidR="00C47B84" w:rsidRPr="001556C3" w:rsidRDefault="009A7A11" w:rsidP="0029083B">
      <w:pPr>
        <w:ind w:firstLine="0"/>
        <w:jc w:val="right"/>
        <w:rPr>
          <w:rFonts w:cs="Arial"/>
          <w:b/>
          <w:sz w:val="23"/>
          <w:szCs w:val="23"/>
        </w:rPr>
      </w:pPr>
      <w:r w:rsidRPr="001556C3">
        <w:rPr>
          <w:rFonts w:cs="Arial"/>
          <w:b/>
          <w:sz w:val="23"/>
          <w:szCs w:val="23"/>
        </w:rPr>
        <w:t>GIACOBBO</w:t>
      </w:r>
      <w:r w:rsidR="00C47B84" w:rsidRPr="001556C3">
        <w:rPr>
          <w:rFonts w:cs="Arial"/>
          <w:b/>
          <w:sz w:val="23"/>
          <w:szCs w:val="23"/>
        </w:rPr>
        <w:t xml:space="preserve">, </w:t>
      </w:r>
      <w:r w:rsidR="00EA5503" w:rsidRPr="001556C3">
        <w:rPr>
          <w:rFonts w:cs="Arial"/>
          <w:b/>
          <w:sz w:val="23"/>
          <w:szCs w:val="23"/>
        </w:rPr>
        <w:t>Guilherme Estima (autor)</w:t>
      </w:r>
    </w:p>
    <w:p w:rsidR="001C0732" w:rsidRPr="001556C3" w:rsidRDefault="001C0732" w:rsidP="0029083B">
      <w:pPr>
        <w:ind w:firstLine="0"/>
        <w:jc w:val="right"/>
        <w:rPr>
          <w:rFonts w:cs="Arial"/>
          <w:b/>
          <w:sz w:val="23"/>
          <w:szCs w:val="23"/>
        </w:rPr>
      </w:pPr>
      <w:r w:rsidRPr="001556C3">
        <w:rPr>
          <w:rFonts w:cs="Arial"/>
          <w:b/>
          <w:sz w:val="23"/>
          <w:szCs w:val="23"/>
        </w:rPr>
        <w:t xml:space="preserve">BARROCO, </w:t>
      </w:r>
      <w:r w:rsidR="00EA5503" w:rsidRPr="001556C3">
        <w:rPr>
          <w:rFonts w:cs="Arial"/>
          <w:b/>
          <w:sz w:val="23"/>
          <w:szCs w:val="23"/>
        </w:rPr>
        <w:t xml:space="preserve">Eduardo Teixeira (Co-autor) </w:t>
      </w:r>
    </w:p>
    <w:p w:rsidR="001C0732" w:rsidRPr="001556C3" w:rsidRDefault="00EA5503" w:rsidP="00A771C1">
      <w:pPr>
        <w:ind w:firstLine="0"/>
        <w:jc w:val="right"/>
        <w:rPr>
          <w:rFonts w:cs="Arial"/>
          <w:b/>
          <w:sz w:val="23"/>
          <w:szCs w:val="23"/>
          <w:lang w:val="en-US"/>
        </w:rPr>
      </w:pPr>
      <w:r w:rsidRPr="001556C3">
        <w:rPr>
          <w:rFonts w:cs="Arial"/>
          <w:b/>
          <w:sz w:val="23"/>
          <w:szCs w:val="23"/>
          <w:lang w:val="en-US"/>
        </w:rPr>
        <w:t>HERMANY, Ricardo (Orientador)</w:t>
      </w:r>
    </w:p>
    <w:p w:rsidR="00C47B84" w:rsidRPr="001556C3" w:rsidRDefault="009A7A11" w:rsidP="00A771C1">
      <w:pPr>
        <w:ind w:firstLine="0"/>
        <w:jc w:val="right"/>
        <w:rPr>
          <w:rFonts w:cs="Arial"/>
          <w:b/>
          <w:sz w:val="23"/>
          <w:szCs w:val="23"/>
          <w:lang w:val="en-US"/>
        </w:rPr>
      </w:pPr>
      <w:r w:rsidRPr="001556C3">
        <w:rPr>
          <w:rFonts w:cs="Arial"/>
          <w:b/>
          <w:sz w:val="23"/>
          <w:szCs w:val="23"/>
          <w:lang w:val="en-US"/>
        </w:rPr>
        <w:t>guilhermegiacobbo</w:t>
      </w:r>
      <w:r w:rsidR="008866CB" w:rsidRPr="001556C3">
        <w:rPr>
          <w:rFonts w:cs="Arial"/>
          <w:b/>
          <w:sz w:val="23"/>
          <w:szCs w:val="23"/>
          <w:lang w:val="en-US"/>
        </w:rPr>
        <w:t>@</w:t>
      </w:r>
      <w:r w:rsidRPr="001556C3">
        <w:rPr>
          <w:rFonts w:cs="Arial"/>
          <w:b/>
          <w:sz w:val="23"/>
          <w:szCs w:val="23"/>
          <w:lang w:val="en-US"/>
        </w:rPr>
        <w:t>gmail</w:t>
      </w:r>
      <w:r w:rsidR="008866CB" w:rsidRPr="001556C3">
        <w:rPr>
          <w:rFonts w:cs="Arial"/>
          <w:b/>
          <w:sz w:val="23"/>
          <w:szCs w:val="23"/>
          <w:lang w:val="en-US"/>
        </w:rPr>
        <w:t>.com</w:t>
      </w:r>
    </w:p>
    <w:p w:rsidR="00A771C1" w:rsidRPr="001556C3" w:rsidRDefault="00A771C1" w:rsidP="00A771C1">
      <w:pPr>
        <w:ind w:firstLine="0"/>
        <w:jc w:val="right"/>
        <w:rPr>
          <w:rFonts w:cs="Arial"/>
          <w:b/>
          <w:sz w:val="23"/>
          <w:szCs w:val="23"/>
          <w:lang w:val="en-US"/>
        </w:rPr>
      </w:pPr>
    </w:p>
    <w:p w:rsidR="00520FB9" w:rsidRPr="001556C3" w:rsidRDefault="00520FB9" w:rsidP="00711AA3">
      <w:pPr>
        <w:ind w:firstLine="0"/>
        <w:jc w:val="right"/>
        <w:rPr>
          <w:rFonts w:cs="Arial"/>
          <w:b/>
          <w:sz w:val="23"/>
          <w:szCs w:val="23"/>
        </w:rPr>
      </w:pPr>
      <w:r w:rsidRPr="001556C3">
        <w:rPr>
          <w:rFonts w:cs="Arial"/>
          <w:b/>
          <w:sz w:val="23"/>
          <w:szCs w:val="23"/>
        </w:rPr>
        <w:t xml:space="preserve">Evento: </w:t>
      </w:r>
      <w:r w:rsidR="002C6186" w:rsidRPr="001556C3">
        <w:rPr>
          <w:rFonts w:cs="Arial"/>
          <w:b/>
          <w:sz w:val="23"/>
          <w:szCs w:val="23"/>
        </w:rPr>
        <w:t>1</w:t>
      </w:r>
      <w:r w:rsidR="001C0732" w:rsidRPr="001556C3">
        <w:rPr>
          <w:rFonts w:cs="Arial"/>
          <w:b/>
          <w:sz w:val="23"/>
          <w:szCs w:val="23"/>
        </w:rPr>
        <w:t>3</w:t>
      </w:r>
      <w:r w:rsidR="002C6186" w:rsidRPr="001556C3">
        <w:rPr>
          <w:rFonts w:cs="Arial"/>
          <w:b/>
          <w:sz w:val="23"/>
          <w:szCs w:val="23"/>
        </w:rPr>
        <w:t>ª Mostra de Produção Universitária</w:t>
      </w:r>
    </w:p>
    <w:p w:rsidR="00C47B84" w:rsidRPr="001556C3" w:rsidRDefault="00711AA3" w:rsidP="00711AA3">
      <w:pPr>
        <w:ind w:firstLine="0"/>
        <w:jc w:val="right"/>
        <w:rPr>
          <w:rFonts w:cs="Arial"/>
          <w:b/>
          <w:sz w:val="23"/>
          <w:szCs w:val="23"/>
        </w:rPr>
      </w:pPr>
      <w:r w:rsidRPr="001556C3">
        <w:rPr>
          <w:rFonts w:cs="Arial"/>
          <w:b/>
          <w:sz w:val="23"/>
          <w:szCs w:val="23"/>
        </w:rPr>
        <w:t>Área</w:t>
      </w:r>
      <w:r w:rsidR="00520FB9" w:rsidRPr="001556C3">
        <w:rPr>
          <w:rFonts w:cs="Arial"/>
          <w:b/>
          <w:sz w:val="23"/>
          <w:szCs w:val="23"/>
        </w:rPr>
        <w:t xml:space="preserve"> do conhecimento</w:t>
      </w:r>
      <w:r w:rsidRPr="001556C3">
        <w:rPr>
          <w:rFonts w:cs="Arial"/>
          <w:b/>
          <w:sz w:val="23"/>
          <w:szCs w:val="23"/>
        </w:rPr>
        <w:t xml:space="preserve">: </w:t>
      </w:r>
      <w:r w:rsidR="00FC19CF" w:rsidRPr="001556C3">
        <w:rPr>
          <w:rFonts w:cs="Arial"/>
          <w:b/>
          <w:sz w:val="23"/>
          <w:szCs w:val="23"/>
        </w:rPr>
        <w:t>Direito</w:t>
      </w:r>
    </w:p>
    <w:p w:rsidR="002C6186" w:rsidRPr="002F6008" w:rsidRDefault="002C6186" w:rsidP="00711AA3">
      <w:pPr>
        <w:ind w:firstLine="0"/>
        <w:jc w:val="right"/>
        <w:rPr>
          <w:rFonts w:cs="Arial"/>
          <w:b/>
        </w:rPr>
      </w:pPr>
    </w:p>
    <w:p w:rsidR="009A7A11" w:rsidRPr="001556C3" w:rsidRDefault="009F1118" w:rsidP="009A7A11">
      <w:pPr>
        <w:ind w:firstLine="0"/>
        <w:rPr>
          <w:rFonts w:eastAsia="Arial" w:cs="Arial"/>
          <w:sz w:val="23"/>
          <w:szCs w:val="23"/>
        </w:rPr>
      </w:pPr>
      <w:r w:rsidRPr="001556C3">
        <w:rPr>
          <w:rFonts w:cs="Arial"/>
          <w:b/>
          <w:sz w:val="23"/>
          <w:szCs w:val="23"/>
        </w:rPr>
        <w:t>Palavras-chave</w:t>
      </w:r>
      <w:r w:rsidR="008866CB" w:rsidRPr="001556C3">
        <w:rPr>
          <w:rFonts w:cs="Arial"/>
          <w:sz w:val="23"/>
          <w:szCs w:val="23"/>
        </w:rPr>
        <w:t xml:space="preserve">: </w:t>
      </w:r>
      <w:r w:rsidR="00EA5503" w:rsidRPr="001556C3">
        <w:rPr>
          <w:rFonts w:eastAsia="Arial" w:cs="Arial"/>
          <w:sz w:val="23"/>
          <w:szCs w:val="23"/>
        </w:rPr>
        <w:t xml:space="preserve">Autonomia municipal, </w:t>
      </w:r>
      <w:r w:rsidR="004B57F2" w:rsidRPr="001556C3">
        <w:rPr>
          <w:rFonts w:eastAsia="Arial" w:cs="Arial"/>
          <w:sz w:val="23"/>
          <w:szCs w:val="23"/>
        </w:rPr>
        <w:t>descentralização</w:t>
      </w:r>
      <w:r w:rsidR="00EA5503" w:rsidRPr="001556C3">
        <w:rPr>
          <w:rFonts w:eastAsia="Arial" w:cs="Arial"/>
          <w:sz w:val="23"/>
          <w:szCs w:val="23"/>
        </w:rPr>
        <w:t>, subsidiariedade.</w:t>
      </w:r>
    </w:p>
    <w:p w:rsidR="003220E0" w:rsidRPr="001556C3" w:rsidRDefault="003220E0" w:rsidP="009A7A11">
      <w:pPr>
        <w:ind w:firstLine="0"/>
        <w:rPr>
          <w:rFonts w:cs="Arial"/>
          <w:sz w:val="23"/>
          <w:szCs w:val="23"/>
        </w:rPr>
      </w:pPr>
    </w:p>
    <w:p w:rsidR="009D0723" w:rsidRPr="001556C3" w:rsidRDefault="0082219D" w:rsidP="00FB52A7">
      <w:pPr>
        <w:pStyle w:val="Ttulodaseoprimria"/>
        <w:spacing w:after="120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>1 INTRODUÇÃO</w:t>
      </w:r>
    </w:p>
    <w:p w:rsidR="009D0723" w:rsidRPr="0076425B" w:rsidRDefault="004B57F2" w:rsidP="0076425B">
      <w:pPr>
        <w:pStyle w:val="Ttulodaseoprimria"/>
        <w:tabs>
          <w:tab w:val="left" w:pos="709"/>
        </w:tabs>
        <w:spacing w:after="120"/>
        <w:rPr>
          <w:rFonts w:eastAsia="Arial" w:cs="Arial"/>
          <w:b w:val="0"/>
          <w:color w:val="000000"/>
          <w:kern w:val="0"/>
          <w:sz w:val="23"/>
          <w:szCs w:val="23"/>
        </w:rPr>
      </w:pPr>
      <w:r w:rsidRPr="001556C3">
        <w:rPr>
          <w:rFonts w:cs="Arial"/>
          <w:b w:val="0"/>
          <w:bCs/>
          <w:sz w:val="23"/>
          <w:szCs w:val="23"/>
        </w:rPr>
        <w:tab/>
      </w:r>
      <w:r w:rsidR="00252A34">
        <w:rPr>
          <w:rFonts w:eastAsia="Arial" w:cs="Arial"/>
          <w:b w:val="0"/>
          <w:color w:val="000000"/>
          <w:kern w:val="0"/>
          <w:sz w:val="23"/>
          <w:szCs w:val="23"/>
        </w:rPr>
        <w:t>O objetivo do presente resumo é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demonstrar a incompatibilidade das Emendas Parlamentares Individuais</w:t>
      </w:r>
      <w:r w:rsidR="00252A34">
        <w:rPr>
          <w:rFonts w:eastAsia="Arial" w:cs="Arial"/>
          <w:b w:val="0"/>
          <w:color w:val="000000"/>
          <w:kern w:val="0"/>
          <w:sz w:val="23"/>
          <w:szCs w:val="23"/>
        </w:rPr>
        <w:t xml:space="preserve"> face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ao</w:t>
      </w:r>
      <w:r w:rsidR="00EE3472">
        <w:rPr>
          <w:rFonts w:eastAsia="Arial" w:cs="Arial"/>
          <w:b w:val="0"/>
          <w:color w:val="000000"/>
          <w:kern w:val="0"/>
          <w:sz w:val="23"/>
          <w:szCs w:val="23"/>
        </w:rPr>
        <w:t>s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>princípio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s da subsidiariedade e da descentralização, consagrados com o </w:t>
      </w:r>
      <w:r w:rsidR="0076425B" w:rsidRP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>advento da Constituição Federal de 1988</w:t>
      </w:r>
      <w:r w:rsid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>, que</w:t>
      </w:r>
      <w:r w:rsidR="0076425B" w:rsidRP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 xml:space="preserve"> alterou o caráter centrípeto das forças político-institucionais alça</w:t>
      </w:r>
      <w:r w:rsid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>ndo</w:t>
      </w:r>
      <w:r w:rsidR="0076425B" w:rsidRP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 xml:space="preserve"> o município </w:t>
      </w:r>
      <w:r w:rsid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>ao status de</w:t>
      </w:r>
      <w:r w:rsidR="0076425B" w:rsidRP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 xml:space="preserve"> pessoa jurídica de Direito Público, dotando-o de prerrogativas análogas às demais entidades federadas</w:t>
      </w:r>
      <w:r w:rsidR="0076425B">
        <w:rPr>
          <w:rFonts w:eastAsia="Arial" w:cs="Arial"/>
          <w:b w:val="0"/>
          <w:bCs/>
          <w:color w:val="000000"/>
          <w:kern w:val="0"/>
          <w:sz w:val="23"/>
          <w:szCs w:val="23"/>
        </w:rPr>
        <w:t>. Essa incompatibilidade mostra-se presente,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</w:t>
      </w:r>
      <w:r w:rsidR="0007651F" w:rsidRPr="0076425B">
        <w:rPr>
          <w:rFonts w:eastAsia="Arial" w:cs="Arial"/>
          <w:b w:val="0"/>
          <w:color w:val="000000"/>
          <w:kern w:val="0"/>
          <w:sz w:val="23"/>
          <w:szCs w:val="23"/>
        </w:rPr>
        <w:t>inclusive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>,</w:t>
      </w:r>
      <w:r w:rsidR="0007651F"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no </w:t>
      </w:r>
      <w:r w:rsidR="005E0332">
        <w:rPr>
          <w:rFonts w:eastAsia="Arial" w:cs="Arial"/>
          <w:b w:val="0"/>
          <w:color w:val="000000"/>
          <w:kern w:val="0"/>
          <w:sz w:val="23"/>
          <w:szCs w:val="23"/>
        </w:rPr>
        <w:t>tocante</w:t>
      </w:r>
      <w:r w:rsidR="0007651F"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>à</w:t>
      </w:r>
      <w:r w:rsidR="0007651F" w:rsidRPr="0076425B">
        <w:rPr>
          <w:rFonts w:eastAsia="Arial" w:cs="Arial"/>
          <w:b w:val="0"/>
          <w:color w:val="000000"/>
          <w:kern w:val="0"/>
          <w:sz w:val="23"/>
          <w:szCs w:val="23"/>
        </w:rPr>
        <w:t>s n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ovas propostas de emendas constitucionais e 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>a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aprovação do orçamento impositivo das 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>dessas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emendas,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especialmente em razão da falta de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critérios 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>para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 aplicação </w:t>
      </w:r>
      <w:r w:rsidR="0076425B">
        <w:rPr>
          <w:rFonts w:eastAsia="Arial" w:cs="Arial"/>
          <w:b w:val="0"/>
          <w:color w:val="000000"/>
          <w:kern w:val="0"/>
          <w:sz w:val="23"/>
          <w:szCs w:val="23"/>
        </w:rPr>
        <w:t xml:space="preserve">nos </w:t>
      </w:r>
      <w:r w:rsidRPr="0076425B">
        <w:rPr>
          <w:rFonts w:eastAsia="Arial" w:cs="Arial"/>
          <w:b w:val="0"/>
          <w:color w:val="000000"/>
          <w:kern w:val="0"/>
          <w:sz w:val="23"/>
          <w:szCs w:val="23"/>
        </w:rPr>
        <w:t>municípios.</w:t>
      </w:r>
    </w:p>
    <w:p w:rsidR="0007651F" w:rsidRPr="001556C3" w:rsidRDefault="0007651F" w:rsidP="0029083B">
      <w:pPr>
        <w:rPr>
          <w:rFonts w:cs="Arial"/>
          <w:sz w:val="23"/>
          <w:szCs w:val="23"/>
        </w:rPr>
      </w:pPr>
    </w:p>
    <w:p w:rsidR="009D0723" w:rsidRPr="001556C3" w:rsidRDefault="0082219D" w:rsidP="00FB52A7">
      <w:pPr>
        <w:pStyle w:val="Ttulodaseoprimria"/>
        <w:spacing w:after="120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 xml:space="preserve">2 </w:t>
      </w:r>
      <w:r w:rsidR="00D3459F" w:rsidRPr="001556C3">
        <w:rPr>
          <w:rFonts w:cs="Arial"/>
          <w:sz w:val="23"/>
          <w:szCs w:val="23"/>
        </w:rPr>
        <w:t>REFERENCIAL TEÓRICO</w:t>
      </w:r>
    </w:p>
    <w:p w:rsidR="001E2A6D" w:rsidRPr="001556C3" w:rsidRDefault="003800DD" w:rsidP="001E2A6D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</w:t>
      </w:r>
      <w:r w:rsidR="001E2A6D" w:rsidRPr="001556C3">
        <w:rPr>
          <w:rFonts w:cs="Arial"/>
          <w:sz w:val="23"/>
          <w:szCs w:val="23"/>
        </w:rPr>
        <w:t xml:space="preserve"> federalismo</w:t>
      </w:r>
      <w:r>
        <w:rPr>
          <w:rFonts w:cs="Arial"/>
          <w:sz w:val="23"/>
          <w:szCs w:val="23"/>
        </w:rPr>
        <w:t xml:space="preserve"> é a forma de governo onde</w:t>
      </w:r>
      <w:r w:rsidR="001E2A6D" w:rsidRPr="001556C3">
        <w:rPr>
          <w:rFonts w:cs="Arial"/>
          <w:sz w:val="23"/>
          <w:szCs w:val="23"/>
        </w:rPr>
        <w:t xml:space="preserve"> os estados-membros que compõem o Estado resguardam sua autonomia política, administrativa e financeira, </w:t>
      </w:r>
      <w:r>
        <w:rPr>
          <w:rFonts w:cs="Arial"/>
          <w:sz w:val="23"/>
          <w:szCs w:val="23"/>
        </w:rPr>
        <w:t>abrindo</w:t>
      </w:r>
      <w:r w:rsidR="001E2A6D" w:rsidRPr="001556C3">
        <w:rPr>
          <w:rFonts w:cs="Arial"/>
          <w:sz w:val="23"/>
          <w:szCs w:val="23"/>
        </w:rPr>
        <w:t xml:space="preserve"> mão de sua soberania. A federação é, portanto, uma associação, “uma união institucional de Estados, que dá lugar a um novo Estado (o Estado Federal), diverso dos que dele participam (os Estados-membros)</w:t>
      </w:r>
      <w:r w:rsidR="001E2A6D" w:rsidRPr="001556C3">
        <w:rPr>
          <w:rFonts w:cs="Arial"/>
          <w:i/>
          <w:sz w:val="23"/>
          <w:szCs w:val="23"/>
        </w:rPr>
        <w:t>”</w:t>
      </w:r>
      <w:r w:rsidR="001E2A6D" w:rsidRPr="001556C3">
        <w:rPr>
          <w:rFonts w:cs="Arial"/>
          <w:sz w:val="23"/>
          <w:szCs w:val="23"/>
        </w:rPr>
        <w:t>. (CARRAZA, 2013, pg. 148)</w:t>
      </w:r>
    </w:p>
    <w:p w:rsidR="001E2A6D" w:rsidRPr="009C1C45" w:rsidRDefault="003800DD" w:rsidP="009C1C45">
      <w:pPr>
        <w:rPr>
          <w:rFonts w:cs="Arial"/>
          <w:bCs/>
          <w:sz w:val="23"/>
          <w:szCs w:val="23"/>
        </w:rPr>
      </w:pPr>
      <w:r>
        <w:rPr>
          <w:rFonts w:cs="Arial"/>
          <w:sz w:val="23"/>
          <w:szCs w:val="23"/>
        </w:rPr>
        <w:t>N</w:t>
      </w:r>
      <w:r w:rsidR="001E2A6D" w:rsidRPr="001556C3">
        <w:rPr>
          <w:rFonts w:cs="Arial"/>
          <w:sz w:val="23"/>
          <w:szCs w:val="23"/>
        </w:rPr>
        <w:t>o Brasi</w:t>
      </w:r>
      <w:r>
        <w:rPr>
          <w:rFonts w:cs="Arial"/>
          <w:sz w:val="23"/>
          <w:szCs w:val="23"/>
        </w:rPr>
        <w:t>l</w:t>
      </w:r>
      <w:r w:rsidR="001E2A6D" w:rsidRPr="001556C3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inexistiu, </w:t>
      </w:r>
      <w:r w:rsidR="001E2A6D" w:rsidRPr="001556C3">
        <w:rPr>
          <w:rFonts w:cs="Arial"/>
          <w:sz w:val="23"/>
          <w:szCs w:val="23"/>
        </w:rPr>
        <w:t>na criação do Estado federal, qualquer espécie de “pacto federativo” previamente escolhido pelas unidades federativas, mas, uma imposição da escolha do</w:t>
      </w:r>
      <w:r>
        <w:rPr>
          <w:rFonts w:cs="Arial"/>
          <w:sz w:val="23"/>
          <w:szCs w:val="23"/>
        </w:rPr>
        <w:t xml:space="preserve"> federalismo pelo Poder central</w:t>
      </w:r>
      <w:r w:rsidR="001E2A6D" w:rsidRPr="001556C3">
        <w:rPr>
          <w:rFonts w:cs="Arial"/>
          <w:sz w:val="23"/>
          <w:szCs w:val="23"/>
        </w:rPr>
        <w:t>. Figueiredo (2008, p. 119) leciona que</w:t>
      </w:r>
      <w:r w:rsidR="009C1C45">
        <w:rPr>
          <w:rFonts w:cs="Arial"/>
          <w:sz w:val="23"/>
          <w:szCs w:val="23"/>
        </w:rPr>
        <w:t xml:space="preserve"> </w:t>
      </w:r>
      <w:r w:rsidR="009C1C45" w:rsidRPr="009C1C45">
        <w:rPr>
          <w:rFonts w:cs="Arial"/>
          <w:sz w:val="23"/>
          <w:szCs w:val="23"/>
        </w:rPr>
        <w:t>“o</w:t>
      </w:r>
      <w:r w:rsidR="001E2A6D" w:rsidRPr="009C1C45">
        <w:rPr>
          <w:rFonts w:cs="Arial"/>
          <w:bCs/>
          <w:sz w:val="23"/>
          <w:szCs w:val="23"/>
        </w:rPr>
        <w:t xml:space="preserve"> Brasil sempre flutuou entre o unitarismo e a descentralização político-administrativa. </w:t>
      </w:r>
      <w:r w:rsidR="009C1C45" w:rsidRPr="009C1C45">
        <w:rPr>
          <w:rFonts w:cs="Arial"/>
          <w:bCs/>
          <w:sz w:val="23"/>
          <w:szCs w:val="23"/>
        </w:rPr>
        <w:t>[...]</w:t>
      </w:r>
      <w:r w:rsidR="001E2A6D" w:rsidRPr="009C1C45">
        <w:rPr>
          <w:rFonts w:cs="Arial"/>
          <w:bCs/>
          <w:sz w:val="23"/>
          <w:szCs w:val="23"/>
        </w:rPr>
        <w:t xml:space="preserve">. A cultura da adoção de regras uniformes para todo o Brasil muitas vezes </w:t>
      </w:r>
      <w:r w:rsidR="001E2A6D" w:rsidRPr="009C1C45">
        <w:rPr>
          <w:rFonts w:cs="Arial"/>
          <w:b/>
          <w:bCs/>
          <w:sz w:val="23"/>
          <w:szCs w:val="23"/>
        </w:rPr>
        <w:t>encobre a realidade regional e local</w:t>
      </w:r>
      <w:r w:rsidR="001E2A6D" w:rsidRPr="009C1C45">
        <w:rPr>
          <w:rFonts w:cs="Arial"/>
          <w:bCs/>
          <w:sz w:val="23"/>
          <w:szCs w:val="23"/>
        </w:rPr>
        <w:t xml:space="preserve"> sufocando-a em todos os sentidos</w:t>
      </w:r>
      <w:r w:rsidR="009C1C45" w:rsidRPr="009C1C45">
        <w:rPr>
          <w:rFonts w:cs="Arial"/>
          <w:bCs/>
          <w:sz w:val="23"/>
          <w:szCs w:val="23"/>
        </w:rPr>
        <w:t>”</w:t>
      </w:r>
      <w:r w:rsidR="001E2A6D" w:rsidRPr="009C1C45">
        <w:rPr>
          <w:rFonts w:cs="Arial"/>
          <w:bCs/>
          <w:sz w:val="23"/>
          <w:szCs w:val="23"/>
        </w:rPr>
        <w:t xml:space="preserve">. </w:t>
      </w:r>
    </w:p>
    <w:p w:rsidR="001E2A6D" w:rsidRPr="001556C3" w:rsidRDefault="001E2A6D" w:rsidP="001E2A6D">
      <w:pPr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>É alto o número de Estados Federais onde a divisão vertical de instâncias de poder é garantia do princípio da legalidade e da liberdade dos indivíduos face à restrição de atuação das autoridades centrais, restringindo-os às suas esferas de atribuição (o que garante a liberdade de atuação dos poderes mais próximos do cidadão, facultando-os agir de acordo com os interesses locais).</w:t>
      </w:r>
    </w:p>
    <w:p w:rsidR="001E2A6D" w:rsidRPr="001556C3" w:rsidRDefault="00BD7259" w:rsidP="001E2A6D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O cerne</w:t>
      </w:r>
      <w:r w:rsidR="001E2A6D" w:rsidRPr="001556C3">
        <w:rPr>
          <w:rFonts w:cs="Arial"/>
          <w:sz w:val="23"/>
          <w:szCs w:val="23"/>
        </w:rPr>
        <w:t xml:space="preserve"> precípu</w:t>
      </w:r>
      <w:r w:rsidR="000B742A">
        <w:rPr>
          <w:rFonts w:cs="Arial"/>
          <w:sz w:val="23"/>
          <w:szCs w:val="23"/>
        </w:rPr>
        <w:t xml:space="preserve">o </w:t>
      </w:r>
      <w:r w:rsidR="001E2A6D" w:rsidRPr="001556C3">
        <w:rPr>
          <w:rFonts w:cs="Arial"/>
          <w:sz w:val="23"/>
          <w:szCs w:val="23"/>
        </w:rPr>
        <w:t xml:space="preserve">da subsidiariedade reside na descentralização das funções da instância de poder </w:t>
      </w:r>
      <w:r w:rsidR="000B742A">
        <w:rPr>
          <w:rFonts w:cs="Arial"/>
          <w:sz w:val="23"/>
          <w:szCs w:val="23"/>
        </w:rPr>
        <w:t>mais distante</w:t>
      </w:r>
      <w:r w:rsidR="001E2A6D" w:rsidRPr="001556C3">
        <w:rPr>
          <w:rFonts w:cs="Arial"/>
          <w:sz w:val="23"/>
          <w:szCs w:val="23"/>
        </w:rPr>
        <w:t xml:space="preserve"> para com as instâncias de poder mais identificados com a sociedade (ou das comunidades maiores para as menores).  </w:t>
      </w:r>
      <w:r>
        <w:rPr>
          <w:rFonts w:cs="Arial"/>
          <w:sz w:val="23"/>
          <w:szCs w:val="23"/>
        </w:rPr>
        <w:t>Vilhena (2002, p. 30) aduz que</w:t>
      </w:r>
      <w:r w:rsidR="001E2A6D" w:rsidRPr="001556C3">
        <w:rPr>
          <w:rFonts w:cs="Arial"/>
          <w:sz w:val="23"/>
          <w:szCs w:val="23"/>
        </w:rPr>
        <w:t>:</w:t>
      </w:r>
    </w:p>
    <w:p w:rsidR="001E2A6D" w:rsidRPr="001556C3" w:rsidRDefault="001E2A6D" w:rsidP="00BD7259">
      <w:pPr>
        <w:spacing w:before="120" w:after="120"/>
        <w:ind w:left="1134" w:firstLine="0"/>
        <w:rPr>
          <w:rFonts w:cs="Arial"/>
          <w:bCs/>
          <w:sz w:val="23"/>
          <w:szCs w:val="23"/>
        </w:rPr>
      </w:pPr>
      <w:r w:rsidRPr="00BD7259">
        <w:rPr>
          <w:rFonts w:cs="Arial"/>
          <w:bCs/>
          <w:sz w:val="20"/>
          <w:szCs w:val="20"/>
        </w:rPr>
        <w:t>Deste modo, a comunidade maior sé deve actuar quando, e na medida em que, havendo necessidade de tal intervenção, esta se revele mais eficaz do que a actuação da comunidade menor; nesta medida, os grupos superiores só deverão executar aquelas tarefas que não possam ser eficientemente executadas pelos grupos inferiores</w:t>
      </w:r>
      <w:r w:rsidR="00BD7259">
        <w:rPr>
          <w:rFonts w:cs="Arial"/>
          <w:bCs/>
          <w:sz w:val="20"/>
          <w:szCs w:val="20"/>
        </w:rPr>
        <w:t>.</w:t>
      </w:r>
    </w:p>
    <w:p w:rsidR="001556C3" w:rsidRPr="001556C3" w:rsidRDefault="001556C3" w:rsidP="001556C3">
      <w:pPr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 xml:space="preserve">Pode-se abstrair da subsidiariedade que ela rejeita a exclusividade da Administração na persecução do interesse público, facultando a participação local e fomentando o exercício do princípio democrático. O cerne deste princípio é resumido pela noção de que “não deve se transferir a uma sociedade maior, aquilo que pode ser realizado por uma sociedade menor” (BARACHO, 1996, p. 52). </w:t>
      </w:r>
    </w:p>
    <w:p w:rsidR="001556C3" w:rsidRPr="001556C3" w:rsidRDefault="001556C3" w:rsidP="001556C3">
      <w:pPr>
        <w:rPr>
          <w:rFonts w:cs="Arial"/>
          <w:bCs/>
          <w:sz w:val="23"/>
          <w:szCs w:val="23"/>
        </w:rPr>
      </w:pPr>
      <w:r w:rsidRPr="001556C3">
        <w:rPr>
          <w:rFonts w:cs="Arial"/>
          <w:bCs/>
          <w:sz w:val="23"/>
          <w:szCs w:val="23"/>
        </w:rPr>
        <w:lastRenderedPageBreak/>
        <w:t>A aprovação da PEC do orçamento impositivo determinará a execução obrigatória das emendas parlamentares individuais, cujo prazo estabelecido será de 120 dias para informar e definir os impeditivos de ordem técnica que podem impossibilitar o repasse dos recursos. A aprovação de emendas individuais ao Orçamento fica limitada a 1,2% da receita corrente líquida prevista na proposta de gastos da União.  Destarte, cada deputado e senador terá</w:t>
      </w:r>
      <w:r w:rsidR="000B742A">
        <w:rPr>
          <w:rFonts w:cs="Arial"/>
          <w:bCs/>
          <w:sz w:val="23"/>
          <w:szCs w:val="23"/>
        </w:rPr>
        <w:t>,</w:t>
      </w:r>
      <w:r w:rsidRPr="001556C3">
        <w:rPr>
          <w:rFonts w:cs="Arial"/>
          <w:bCs/>
          <w:sz w:val="23"/>
          <w:szCs w:val="23"/>
        </w:rPr>
        <w:t xml:space="preserve"> com base </w:t>
      </w:r>
      <w:r w:rsidR="000B742A">
        <w:rPr>
          <w:rFonts w:cs="Arial"/>
          <w:bCs/>
          <w:sz w:val="23"/>
          <w:szCs w:val="23"/>
        </w:rPr>
        <w:t xml:space="preserve">na </w:t>
      </w:r>
      <w:r w:rsidRPr="001556C3">
        <w:rPr>
          <w:rFonts w:cs="Arial"/>
          <w:bCs/>
          <w:sz w:val="23"/>
          <w:szCs w:val="23"/>
        </w:rPr>
        <w:t>Receita Corrente Líquida</w:t>
      </w:r>
      <w:r w:rsidR="000B742A">
        <w:rPr>
          <w:rFonts w:cs="Arial"/>
          <w:bCs/>
          <w:sz w:val="23"/>
          <w:szCs w:val="23"/>
        </w:rPr>
        <w:t xml:space="preserve"> (RCL)</w:t>
      </w:r>
      <w:r w:rsidRPr="001556C3">
        <w:rPr>
          <w:rFonts w:cs="Arial"/>
          <w:bCs/>
          <w:sz w:val="23"/>
          <w:szCs w:val="23"/>
        </w:rPr>
        <w:t xml:space="preserve"> do ano, prevista na proposta orçamentária enviada pelo Executivo, a possibilidade de saber o quanto poderá apresentar em emendas. Em 2014, por exemplo, o percentual de 1,2% significou R$ 14,68 milhões em emendas individuais ao orçamento (LOA – Lei 12.952/14), sendo que, metade desse valor (R$ 7,34 milhões), destinada obrigatoriamente para aplicação em saúde.</w:t>
      </w:r>
    </w:p>
    <w:p w:rsidR="00D3459F" w:rsidRPr="001556C3" w:rsidRDefault="00D3459F" w:rsidP="0029083B">
      <w:pPr>
        <w:rPr>
          <w:rFonts w:cs="Arial"/>
          <w:sz w:val="23"/>
          <w:szCs w:val="23"/>
        </w:rPr>
      </w:pPr>
    </w:p>
    <w:p w:rsidR="009D0723" w:rsidRPr="001556C3" w:rsidRDefault="0082219D" w:rsidP="00FB52A7">
      <w:pPr>
        <w:pStyle w:val="Ttulodaseoprimria"/>
        <w:spacing w:after="120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 xml:space="preserve">3 </w:t>
      </w:r>
      <w:r w:rsidR="00D3459F" w:rsidRPr="001556C3">
        <w:rPr>
          <w:rFonts w:cs="Arial"/>
          <w:sz w:val="23"/>
          <w:szCs w:val="23"/>
        </w:rPr>
        <w:t>MATERIAIS E MÉTODOS</w:t>
      </w:r>
    </w:p>
    <w:p w:rsidR="00D3459F" w:rsidRPr="001556C3" w:rsidRDefault="00D3459F" w:rsidP="00D3459F">
      <w:pPr>
        <w:spacing w:after="120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>O método de Abordagem será o hipotético-dedutivo. O método de Procedimento utilizado será o monográfico. A técnica de pesquisa adotada será a bibliográfica.</w:t>
      </w:r>
    </w:p>
    <w:p w:rsidR="00815F48" w:rsidRPr="001556C3" w:rsidRDefault="00815F48" w:rsidP="0029083B">
      <w:pPr>
        <w:pStyle w:val="Ttulodaseoprimria"/>
        <w:rPr>
          <w:rFonts w:cs="Arial"/>
          <w:sz w:val="23"/>
          <w:szCs w:val="23"/>
        </w:rPr>
      </w:pPr>
    </w:p>
    <w:p w:rsidR="003220E0" w:rsidRPr="001556C3" w:rsidRDefault="0082219D" w:rsidP="00FB52A7">
      <w:pPr>
        <w:pStyle w:val="Ttulodaseoprimria"/>
        <w:spacing w:after="120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>4 CONSIDERAÇÕES FINAIS</w:t>
      </w:r>
    </w:p>
    <w:p w:rsidR="00CA31B8" w:rsidRPr="00CA31B8" w:rsidRDefault="00CA31B8" w:rsidP="00CA31B8">
      <w:pPr>
        <w:rPr>
          <w:rFonts w:cs="Arial"/>
          <w:bCs/>
          <w:sz w:val="23"/>
          <w:szCs w:val="23"/>
        </w:rPr>
      </w:pPr>
      <w:r w:rsidRPr="00CA31B8">
        <w:rPr>
          <w:rFonts w:cs="Arial"/>
          <w:bCs/>
          <w:sz w:val="23"/>
          <w:szCs w:val="23"/>
        </w:rPr>
        <w:t xml:space="preserve">Com a aprovação definitiva das PEC´s 358/13 e 359/2013 </w:t>
      </w:r>
      <w:r w:rsidR="005808D3">
        <w:rPr>
          <w:rFonts w:cs="Arial"/>
          <w:bCs/>
          <w:sz w:val="23"/>
          <w:szCs w:val="23"/>
        </w:rPr>
        <w:t>e</w:t>
      </w:r>
      <w:r w:rsidRPr="00CA31B8">
        <w:rPr>
          <w:rFonts w:cs="Arial"/>
          <w:bCs/>
          <w:sz w:val="23"/>
          <w:szCs w:val="23"/>
        </w:rPr>
        <w:t xml:space="preserve"> a adoção do orçamento impositivo </w:t>
      </w:r>
      <w:r w:rsidR="005808D3">
        <w:rPr>
          <w:rFonts w:cs="Arial"/>
          <w:bCs/>
          <w:sz w:val="23"/>
          <w:szCs w:val="23"/>
        </w:rPr>
        <w:t>co</w:t>
      </w:r>
      <w:r w:rsidR="00585002">
        <w:rPr>
          <w:rFonts w:cs="Arial"/>
          <w:bCs/>
          <w:sz w:val="23"/>
          <w:szCs w:val="23"/>
        </w:rPr>
        <w:t>m</w:t>
      </w:r>
      <w:r w:rsidR="005808D3">
        <w:rPr>
          <w:rFonts w:cs="Arial"/>
          <w:bCs/>
          <w:sz w:val="23"/>
          <w:szCs w:val="23"/>
        </w:rPr>
        <w:t xml:space="preserve"> vinculação d</w:t>
      </w:r>
      <w:r w:rsidRPr="00CA31B8">
        <w:rPr>
          <w:rFonts w:cs="Arial"/>
          <w:bCs/>
          <w:sz w:val="23"/>
          <w:szCs w:val="23"/>
        </w:rPr>
        <w:t>a destinação de metade dos recursos para saúde, soluciona-se parte do problema que orbita as emendas parlamentares individuais: retira-se do governo o poder de pressão sobre os parlamentares para apoio em determinadas matérias em troca da liberação de recursos e dá maior autonomia e segurança jurídica às emendas.</w:t>
      </w:r>
      <w:r w:rsidR="005808D3">
        <w:rPr>
          <w:rFonts w:cs="Arial"/>
          <w:bCs/>
          <w:sz w:val="23"/>
          <w:szCs w:val="23"/>
        </w:rPr>
        <w:t xml:space="preserve"> </w:t>
      </w:r>
      <w:r w:rsidRPr="00CA31B8">
        <w:rPr>
          <w:rFonts w:cs="Arial"/>
          <w:bCs/>
          <w:sz w:val="23"/>
          <w:szCs w:val="23"/>
        </w:rPr>
        <w:t>No entanto, o cerne d</w:t>
      </w:r>
      <w:r w:rsidR="005808D3">
        <w:rPr>
          <w:rFonts w:cs="Arial"/>
          <w:bCs/>
          <w:sz w:val="23"/>
          <w:szCs w:val="23"/>
        </w:rPr>
        <w:t>o déficit</w:t>
      </w:r>
      <w:r w:rsidRPr="00CA31B8">
        <w:rPr>
          <w:rFonts w:cs="Arial"/>
          <w:bCs/>
          <w:sz w:val="23"/>
          <w:szCs w:val="23"/>
        </w:rPr>
        <w:t xml:space="preserve"> </w:t>
      </w:r>
      <w:r w:rsidR="005808D3">
        <w:rPr>
          <w:rFonts w:cs="Arial"/>
          <w:bCs/>
          <w:sz w:val="23"/>
          <w:szCs w:val="23"/>
        </w:rPr>
        <w:t>democrático das decisões</w:t>
      </w:r>
      <w:r w:rsidRPr="00CA31B8">
        <w:rPr>
          <w:rFonts w:cs="Arial"/>
          <w:bCs/>
          <w:sz w:val="23"/>
          <w:szCs w:val="23"/>
        </w:rPr>
        <w:t xml:space="preserve"> não é alterado, pois</w:t>
      </w:r>
      <w:r w:rsidR="005808D3">
        <w:rPr>
          <w:rFonts w:cs="Arial"/>
          <w:bCs/>
          <w:sz w:val="23"/>
          <w:szCs w:val="23"/>
        </w:rPr>
        <w:t>,</w:t>
      </w:r>
      <w:r w:rsidRPr="00CA31B8">
        <w:rPr>
          <w:rFonts w:cs="Arial"/>
          <w:bCs/>
          <w:sz w:val="23"/>
          <w:szCs w:val="23"/>
        </w:rPr>
        <w:t xml:space="preserve"> os recursos ainda são destituídos de critérios objetivos e técnicos</w:t>
      </w:r>
      <w:r w:rsidR="005808D3">
        <w:rPr>
          <w:rFonts w:cs="Arial"/>
          <w:bCs/>
          <w:sz w:val="23"/>
          <w:szCs w:val="23"/>
        </w:rPr>
        <w:t xml:space="preserve"> de </w:t>
      </w:r>
      <w:r w:rsidRPr="00CA31B8">
        <w:rPr>
          <w:rFonts w:cs="Arial"/>
          <w:bCs/>
          <w:sz w:val="23"/>
          <w:szCs w:val="23"/>
        </w:rPr>
        <w:t xml:space="preserve">aplicação. </w:t>
      </w:r>
    </w:p>
    <w:p w:rsidR="003A09B6" w:rsidRDefault="001508DB" w:rsidP="0029083B">
      <w:pPr>
        <w:rPr>
          <w:rFonts w:cs="Arial"/>
          <w:bCs/>
          <w:sz w:val="23"/>
          <w:szCs w:val="23"/>
        </w:rPr>
      </w:pPr>
      <w:r w:rsidRPr="001508DB">
        <w:rPr>
          <w:rFonts w:cs="Arial"/>
          <w:bCs/>
          <w:sz w:val="23"/>
          <w:szCs w:val="23"/>
        </w:rPr>
        <w:t xml:space="preserve">O </w:t>
      </w:r>
      <w:r w:rsidRPr="001508DB">
        <w:rPr>
          <w:rFonts w:cs="Arial"/>
          <w:bCs/>
          <w:i/>
          <w:sz w:val="23"/>
          <w:szCs w:val="23"/>
        </w:rPr>
        <w:t>lócus</w:t>
      </w:r>
      <w:r w:rsidRPr="001508DB">
        <w:rPr>
          <w:rFonts w:cs="Arial"/>
          <w:bCs/>
          <w:sz w:val="23"/>
          <w:szCs w:val="23"/>
        </w:rPr>
        <w:t xml:space="preserve"> ideal para o exercício dos direitos de cidadania</w:t>
      </w:r>
      <w:r w:rsidR="005808D3">
        <w:rPr>
          <w:rFonts w:cs="Arial"/>
          <w:bCs/>
          <w:sz w:val="23"/>
          <w:szCs w:val="23"/>
        </w:rPr>
        <w:t xml:space="preserve"> e</w:t>
      </w:r>
      <w:r w:rsidRPr="001508DB">
        <w:rPr>
          <w:rFonts w:cs="Arial"/>
          <w:bCs/>
          <w:sz w:val="23"/>
          <w:szCs w:val="23"/>
        </w:rPr>
        <w:t xml:space="preserve"> de participação </w:t>
      </w:r>
      <w:r w:rsidR="005808D3">
        <w:rPr>
          <w:rFonts w:cs="Arial"/>
          <w:bCs/>
          <w:sz w:val="23"/>
          <w:szCs w:val="23"/>
        </w:rPr>
        <w:t xml:space="preserve">democrática </w:t>
      </w:r>
      <w:r w:rsidRPr="001508DB">
        <w:rPr>
          <w:rFonts w:cs="Arial"/>
          <w:bCs/>
          <w:sz w:val="23"/>
          <w:szCs w:val="23"/>
        </w:rPr>
        <w:t xml:space="preserve">ativa é, </w:t>
      </w:r>
      <w:r w:rsidR="005808D3">
        <w:rPr>
          <w:rFonts w:cs="Arial"/>
          <w:bCs/>
          <w:sz w:val="23"/>
          <w:szCs w:val="23"/>
        </w:rPr>
        <w:t>fundamenta</w:t>
      </w:r>
      <w:r w:rsidRPr="001508DB">
        <w:rPr>
          <w:rFonts w:cs="Arial"/>
          <w:bCs/>
          <w:sz w:val="23"/>
          <w:szCs w:val="23"/>
        </w:rPr>
        <w:t>lmente, o espaço local. Para tanto, no Brasil, são os municípios os entes administrativos identificados com o conceito de espaço local e à possibilidade de (re)territorialização do poder, pois pode possibilitar um amplo processo de comunicação entre os diversos atores sociais, facultando a efetiva participação nos assuntos da vida política local, com o retorno deste à centralidade do processo de construção da agenda pública.</w:t>
      </w:r>
    </w:p>
    <w:p w:rsidR="001508DB" w:rsidRPr="001508DB" w:rsidRDefault="001508DB" w:rsidP="001508DB">
      <w:pPr>
        <w:rPr>
          <w:rFonts w:cs="Arial"/>
          <w:sz w:val="23"/>
          <w:szCs w:val="23"/>
        </w:rPr>
      </w:pPr>
      <w:r w:rsidRPr="001508DB">
        <w:rPr>
          <w:rFonts w:cs="Arial"/>
          <w:sz w:val="23"/>
          <w:szCs w:val="23"/>
        </w:rPr>
        <w:t xml:space="preserve">Acredita-se que ideias </w:t>
      </w:r>
      <w:r w:rsidR="007A3883">
        <w:rPr>
          <w:rFonts w:cs="Arial"/>
          <w:sz w:val="23"/>
          <w:szCs w:val="23"/>
        </w:rPr>
        <w:t xml:space="preserve">similares </w:t>
      </w:r>
      <w:r w:rsidR="009717AC">
        <w:rPr>
          <w:rFonts w:cs="Arial"/>
          <w:sz w:val="23"/>
          <w:szCs w:val="23"/>
        </w:rPr>
        <w:t>a</w:t>
      </w:r>
      <w:r w:rsidRPr="001508DB">
        <w:rPr>
          <w:rFonts w:cs="Arial"/>
          <w:sz w:val="23"/>
          <w:szCs w:val="23"/>
        </w:rPr>
        <w:t xml:space="preserve"> criação do Fundo de Desenvolvimento Municipal (FDM), proposta pela Confe</w:t>
      </w:r>
      <w:r w:rsidR="009717AC">
        <w:rPr>
          <w:rFonts w:cs="Arial"/>
          <w:sz w:val="23"/>
          <w:szCs w:val="23"/>
        </w:rPr>
        <w:t>deração Nacional de Municípios</w:t>
      </w:r>
      <w:r w:rsidRPr="001508DB">
        <w:rPr>
          <w:rFonts w:cs="Arial"/>
          <w:sz w:val="23"/>
          <w:szCs w:val="23"/>
        </w:rPr>
        <w:t xml:space="preserve">, constituem-se </w:t>
      </w:r>
      <w:r w:rsidR="009717AC">
        <w:rPr>
          <w:rFonts w:cs="Arial"/>
          <w:sz w:val="23"/>
          <w:szCs w:val="23"/>
        </w:rPr>
        <w:t xml:space="preserve">como o </w:t>
      </w:r>
      <w:r w:rsidRPr="001508DB">
        <w:rPr>
          <w:rFonts w:cs="Arial"/>
          <w:sz w:val="23"/>
          <w:szCs w:val="23"/>
        </w:rPr>
        <w:t>caminho mais profícuo ao atendimento do princípio constitucional democrático</w:t>
      </w:r>
      <w:r w:rsidR="009717AC">
        <w:rPr>
          <w:rFonts w:cs="Arial"/>
          <w:sz w:val="23"/>
          <w:szCs w:val="23"/>
        </w:rPr>
        <w:t xml:space="preserve"> e</w:t>
      </w:r>
      <w:r w:rsidRPr="001508DB">
        <w:rPr>
          <w:rFonts w:cs="Arial"/>
          <w:sz w:val="23"/>
          <w:szCs w:val="23"/>
        </w:rPr>
        <w:t xml:space="preserve"> </w:t>
      </w:r>
      <w:r w:rsidR="009717AC">
        <w:rPr>
          <w:rFonts w:cs="Arial"/>
          <w:sz w:val="23"/>
          <w:szCs w:val="23"/>
        </w:rPr>
        <w:t xml:space="preserve">da descentralização, bem como faz jus a aplicação do princípio </w:t>
      </w:r>
      <w:r w:rsidRPr="001508DB">
        <w:rPr>
          <w:rFonts w:cs="Arial"/>
          <w:sz w:val="23"/>
          <w:szCs w:val="23"/>
        </w:rPr>
        <w:t xml:space="preserve">da subsidiariedade. </w:t>
      </w:r>
      <w:r w:rsidR="009717AC">
        <w:rPr>
          <w:rFonts w:cs="Arial"/>
          <w:sz w:val="23"/>
          <w:szCs w:val="23"/>
        </w:rPr>
        <w:t>Ao estabelecer</w:t>
      </w:r>
      <w:r w:rsidRPr="001508DB">
        <w:rPr>
          <w:rFonts w:cs="Arial"/>
          <w:sz w:val="23"/>
          <w:szCs w:val="23"/>
        </w:rPr>
        <w:t xml:space="preserve"> critérios objetivos de distribuição de re</w:t>
      </w:r>
      <w:r w:rsidR="009717AC">
        <w:rPr>
          <w:rFonts w:cs="Arial"/>
          <w:sz w:val="23"/>
          <w:szCs w:val="23"/>
        </w:rPr>
        <w:t>cursos, faculta-se</w:t>
      </w:r>
      <w:r w:rsidR="007A3883">
        <w:rPr>
          <w:rFonts w:cs="Arial"/>
          <w:sz w:val="23"/>
          <w:szCs w:val="23"/>
        </w:rPr>
        <w:t xml:space="preserve"> aos municípios</w:t>
      </w:r>
      <w:r w:rsidRPr="001508DB">
        <w:rPr>
          <w:rFonts w:cs="Arial"/>
          <w:sz w:val="23"/>
          <w:szCs w:val="23"/>
        </w:rPr>
        <w:t xml:space="preserve"> e ao espaço local, </w:t>
      </w:r>
      <w:r w:rsidR="007A3883">
        <w:rPr>
          <w:rFonts w:cs="Arial"/>
          <w:sz w:val="23"/>
          <w:szCs w:val="23"/>
        </w:rPr>
        <w:t xml:space="preserve">exercer </w:t>
      </w:r>
      <w:r w:rsidRPr="001508DB">
        <w:rPr>
          <w:rFonts w:cs="Arial"/>
          <w:sz w:val="23"/>
          <w:szCs w:val="23"/>
        </w:rPr>
        <w:t xml:space="preserve">o poder decisório sobre a destinação de recursos mais coadunada à necessidade específica de cada ente, resultando numa melhor aproximação à lógica </w:t>
      </w:r>
      <w:r w:rsidR="00AD5D87">
        <w:rPr>
          <w:rFonts w:cs="Arial"/>
          <w:sz w:val="23"/>
          <w:szCs w:val="23"/>
        </w:rPr>
        <w:t>de gestão pública compartilhada e democrática.</w:t>
      </w:r>
    </w:p>
    <w:p w:rsidR="001508DB" w:rsidRPr="001556C3" w:rsidRDefault="001508DB" w:rsidP="0029083B">
      <w:pPr>
        <w:rPr>
          <w:rFonts w:cs="Arial"/>
          <w:sz w:val="23"/>
          <w:szCs w:val="23"/>
        </w:rPr>
      </w:pPr>
    </w:p>
    <w:p w:rsidR="007A3883" w:rsidRDefault="0082219D" w:rsidP="00585002">
      <w:pPr>
        <w:pStyle w:val="Ttulodaseoprimria"/>
        <w:spacing w:after="120"/>
        <w:jc w:val="left"/>
        <w:rPr>
          <w:rFonts w:cs="Arial"/>
          <w:sz w:val="23"/>
          <w:szCs w:val="23"/>
        </w:rPr>
      </w:pPr>
      <w:r w:rsidRPr="001556C3">
        <w:rPr>
          <w:rFonts w:cs="Arial"/>
          <w:sz w:val="23"/>
          <w:szCs w:val="23"/>
        </w:rPr>
        <w:t>REFERÊNCIAS</w:t>
      </w:r>
    </w:p>
    <w:p w:rsidR="007A3883" w:rsidRPr="009C1C45" w:rsidRDefault="007A3883" w:rsidP="00585002">
      <w:pPr>
        <w:pStyle w:val="Ttulodaseoprimria"/>
        <w:spacing w:after="120"/>
        <w:jc w:val="left"/>
        <w:rPr>
          <w:rFonts w:cs="Arial"/>
          <w:b w:val="0"/>
          <w:sz w:val="23"/>
          <w:szCs w:val="23"/>
        </w:rPr>
      </w:pPr>
      <w:r w:rsidRPr="007A3883">
        <w:rPr>
          <w:rFonts w:cs="Arial"/>
          <w:b w:val="0"/>
          <w:bCs/>
          <w:sz w:val="23"/>
          <w:szCs w:val="23"/>
        </w:rPr>
        <w:t>BARACHO, Alfredo de Oliveira. O princípio da Subsidiariedade: conceito e evolução. Rio de Janeiro: Forense, 1996.</w:t>
      </w:r>
    </w:p>
    <w:p w:rsidR="009C1C45" w:rsidRPr="009C1C45" w:rsidRDefault="009C1C45" w:rsidP="00252A34">
      <w:pPr>
        <w:pStyle w:val="Ttulodaseoprimria"/>
        <w:spacing w:after="120"/>
        <w:rPr>
          <w:rFonts w:cs="Arial"/>
          <w:b w:val="0"/>
          <w:bCs/>
          <w:sz w:val="23"/>
          <w:szCs w:val="23"/>
        </w:rPr>
      </w:pPr>
      <w:r w:rsidRPr="009C1C45">
        <w:rPr>
          <w:rFonts w:cs="Arial"/>
          <w:b w:val="0"/>
          <w:bCs/>
          <w:sz w:val="23"/>
          <w:szCs w:val="23"/>
        </w:rPr>
        <w:t xml:space="preserve">CARRAZZA, Roque Antonio. </w:t>
      </w:r>
      <w:r w:rsidRPr="009C1C45">
        <w:rPr>
          <w:rFonts w:cs="Arial"/>
          <w:b w:val="0"/>
          <w:bCs/>
          <w:i/>
          <w:sz w:val="23"/>
          <w:szCs w:val="23"/>
        </w:rPr>
        <w:t xml:space="preserve">Curso de Direito Constitucional Tributário </w:t>
      </w:r>
      <w:r w:rsidRPr="009C1C45">
        <w:rPr>
          <w:rFonts w:cs="Arial"/>
          <w:b w:val="0"/>
          <w:bCs/>
          <w:sz w:val="23"/>
          <w:szCs w:val="23"/>
        </w:rPr>
        <w:t>São Paulo: Malheiros,</w:t>
      </w:r>
      <w:r w:rsidRPr="009C1C45">
        <w:rPr>
          <w:rFonts w:cs="Arial"/>
          <w:b w:val="0"/>
          <w:bCs/>
          <w:i/>
          <w:iCs/>
          <w:sz w:val="23"/>
          <w:szCs w:val="23"/>
        </w:rPr>
        <w:t xml:space="preserve"> </w:t>
      </w:r>
      <w:r w:rsidRPr="009C1C45">
        <w:rPr>
          <w:rFonts w:cs="Arial"/>
          <w:b w:val="0"/>
          <w:bCs/>
          <w:sz w:val="23"/>
          <w:szCs w:val="23"/>
        </w:rPr>
        <w:t>2013.</w:t>
      </w:r>
    </w:p>
    <w:p w:rsidR="009C1C45" w:rsidRPr="009C1C45" w:rsidRDefault="009C1C45" w:rsidP="00252A34">
      <w:pPr>
        <w:pStyle w:val="Ttulodaseoprimria"/>
        <w:spacing w:after="120"/>
        <w:rPr>
          <w:rFonts w:cs="Arial"/>
          <w:b w:val="0"/>
          <w:bCs/>
          <w:sz w:val="23"/>
          <w:szCs w:val="23"/>
        </w:rPr>
      </w:pPr>
      <w:r w:rsidRPr="009C1C45">
        <w:rPr>
          <w:rFonts w:cs="Arial"/>
          <w:b w:val="0"/>
          <w:bCs/>
          <w:sz w:val="23"/>
          <w:szCs w:val="23"/>
        </w:rPr>
        <w:t xml:space="preserve">CONFEDERAÇÃO Nacional dos Municípios. </w:t>
      </w:r>
      <w:r w:rsidRPr="009C1C45">
        <w:rPr>
          <w:rFonts w:cs="Arial"/>
          <w:b w:val="0"/>
          <w:bCs/>
          <w:i/>
          <w:sz w:val="23"/>
          <w:szCs w:val="23"/>
        </w:rPr>
        <w:t xml:space="preserve">Brasil Sem Emendas. </w:t>
      </w:r>
      <w:r w:rsidRPr="009C1C45">
        <w:rPr>
          <w:rFonts w:cs="Arial"/>
          <w:b w:val="0"/>
          <w:bCs/>
          <w:sz w:val="23"/>
          <w:szCs w:val="23"/>
        </w:rPr>
        <w:t>Ed. Ago.2013.</w:t>
      </w:r>
      <w:r w:rsidRPr="009C1C45">
        <w:rPr>
          <w:rFonts w:cs="Arial"/>
          <w:b w:val="0"/>
          <w:bCs/>
          <w:i/>
          <w:sz w:val="23"/>
          <w:szCs w:val="23"/>
        </w:rPr>
        <w:t xml:space="preserve"> </w:t>
      </w:r>
      <w:r w:rsidRPr="009C1C45">
        <w:rPr>
          <w:rFonts w:cs="Arial"/>
          <w:b w:val="0"/>
          <w:bCs/>
          <w:sz w:val="23"/>
          <w:szCs w:val="23"/>
        </w:rPr>
        <w:t>Disponível em: &lt;http://www.cnm.org.br/boletimpdf/b_agosto_2013.pdf&gt; Acesso em 10 abr. 2014.</w:t>
      </w:r>
    </w:p>
    <w:p w:rsidR="00252A34" w:rsidRPr="009C1C45" w:rsidRDefault="009C1C45" w:rsidP="00252A34">
      <w:pPr>
        <w:pStyle w:val="Ttulodaseoprimria"/>
        <w:spacing w:after="120"/>
        <w:rPr>
          <w:rFonts w:cs="Arial"/>
          <w:b w:val="0"/>
          <w:sz w:val="23"/>
          <w:szCs w:val="23"/>
        </w:rPr>
      </w:pPr>
      <w:r w:rsidRPr="009C1C45">
        <w:rPr>
          <w:rFonts w:cs="Arial"/>
          <w:b w:val="0"/>
          <w:bCs/>
          <w:sz w:val="23"/>
          <w:szCs w:val="23"/>
        </w:rPr>
        <w:t xml:space="preserve">FIGUEIREDO, Marcelo. Federalismo x Centralização. A Eterna Busca do Equilíbrio – A Tendência Mundial de Concentração de Poderes na União. A questão dos Governos Locais. In: CAGGIANO, Monica Herman; RANIERI, Nina (Orgs.). </w:t>
      </w:r>
      <w:r w:rsidRPr="009C1C45">
        <w:rPr>
          <w:rFonts w:cs="Arial"/>
          <w:b w:val="0"/>
          <w:bCs/>
          <w:i/>
          <w:sz w:val="23"/>
          <w:szCs w:val="23"/>
        </w:rPr>
        <w:t>As novas Fronteiras do Federalismo.</w:t>
      </w:r>
      <w:r w:rsidRPr="009C1C45">
        <w:rPr>
          <w:rFonts w:cs="Arial"/>
          <w:b w:val="0"/>
          <w:bCs/>
          <w:sz w:val="23"/>
          <w:szCs w:val="23"/>
        </w:rPr>
        <w:t xml:space="preserve"> São Paulo: Imprensa Oficial, 2008. p. 117 a 135.</w:t>
      </w:r>
    </w:p>
    <w:p w:rsidR="009C1C45" w:rsidRPr="009C1C45" w:rsidRDefault="009C1C45" w:rsidP="00252A34">
      <w:pPr>
        <w:pStyle w:val="Ttulodaseoprimria"/>
        <w:spacing w:after="120"/>
        <w:rPr>
          <w:rFonts w:cs="Arial"/>
          <w:b w:val="0"/>
          <w:sz w:val="23"/>
          <w:szCs w:val="23"/>
        </w:rPr>
      </w:pPr>
      <w:r w:rsidRPr="009C1C45">
        <w:rPr>
          <w:rFonts w:cs="Arial"/>
          <w:b w:val="0"/>
          <w:bCs/>
          <w:sz w:val="23"/>
          <w:szCs w:val="23"/>
        </w:rPr>
        <w:t>VILHENA, Maria do Rosário. O Princípio da Subsidiariedade no Direito Comunitário. Coimbra: Almedina, 2002.</w:t>
      </w:r>
    </w:p>
    <w:sectPr w:rsidR="009C1C45" w:rsidRPr="009C1C45" w:rsidSect="00585002">
      <w:headerReference w:type="first" r:id="rId8"/>
      <w:pgSz w:w="11906" w:h="16838" w:code="9"/>
      <w:pgMar w:top="1134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37" w:rsidRDefault="009D2137" w:rsidP="00B11590">
      <w:r>
        <w:separator/>
      </w:r>
    </w:p>
  </w:endnote>
  <w:endnote w:type="continuationSeparator" w:id="0">
    <w:p w:rsidR="009D2137" w:rsidRDefault="009D213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37" w:rsidRDefault="009D2137" w:rsidP="00B11590">
      <w:r>
        <w:separator/>
      </w:r>
    </w:p>
  </w:footnote>
  <w:footnote w:type="continuationSeparator" w:id="0">
    <w:p w:rsidR="009D2137" w:rsidRDefault="009D213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DD" w:rsidRPr="003800DD" w:rsidRDefault="003800DD" w:rsidP="003800DD">
    <w:pPr>
      <w:pStyle w:val="Cabealho"/>
      <w:jc w:val="center"/>
      <w:rPr>
        <w:bCs/>
      </w:rPr>
    </w:pPr>
    <w:r w:rsidRPr="003800DD">
      <w:rPr>
        <w:b/>
        <w:bCs/>
      </w:rPr>
      <w:t>13ª Mostra da Produção Universitária</w:t>
    </w:r>
    <w:r w:rsidRPr="003800DD">
      <w:rPr>
        <w:bCs/>
      </w:rPr>
      <w:t>.</w:t>
    </w:r>
  </w:p>
  <w:p w:rsidR="003800DD" w:rsidRPr="003800DD" w:rsidRDefault="003800DD" w:rsidP="003800DD">
    <w:pPr>
      <w:pStyle w:val="Cabealho"/>
      <w:jc w:val="center"/>
      <w:rPr>
        <w:bCs/>
      </w:rPr>
    </w:pPr>
    <w:r w:rsidRPr="003800DD">
      <w:rPr>
        <w:bCs/>
      </w:rPr>
      <w:t>Rio Grande/RS, Brasil, 14 a 17 de outubro de 2014.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CEA6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EC718E"/>
    <w:multiLevelType w:val="multilevel"/>
    <w:tmpl w:val="346C90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bCs/>
        <w:i w:val="0"/>
        <w:iCs w:val="0"/>
        <w:color w:val="auto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269DA"/>
    <w:rsid w:val="00042555"/>
    <w:rsid w:val="000517E0"/>
    <w:rsid w:val="0007651F"/>
    <w:rsid w:val="00077CBE"/>
    <w:rsid w:val="000B742A"/>
    <w:rsid w:val="000F630E"/>
    <w:rsid w:val="00102739"/>
    <w:rsid w:val="00112477"/>
    <w:rsid w:val="00125006"/>
    <w:rsid w:val="001508DB"/>
    <w:rsid w:val="001556C3"/>
    <w:rsid w:val="00170EA8"/>
    <w:rsid w:val="00185FE1"/>
    <w:rsid w:val="001A470D"/>
    <w:rsid w:val="001C0732"/>
    <w:rsid w:val="001C29D6"/>
    <w:rsid w:val="001C6128"/>
    <w:rsid w:val="001C7B8C"/>
    <w:rsid w:val="001D7F69"/>
    <w:rsid w:val="001E2A6D"/>
    <w:rsid w:val="001E496B"/>
    <w:rsid w:val="001E7859"/>
    <w:rsid w:val="00203D0A"/>
    <w:rsid w:val="00232D40"/>
    <w:rsid w:val="00241702"/>
    <w:rsid w:val="0024774D"/>
    <w:rsid w:val="002478D0"/>
    <w:rsid w:val="00252A34"/>
    <w:rsid w:val="00257CE7"/>
    <w:rsid w:val="00263E4E"/>
    <w:rsid w:val="0026531F"/>
    <w:rsid w:val="00282EF5"/>
    <w:rsid w:val="0029083B"/>
    <w:rsid w:val="002A7A57"/>
    <w:rsid w:val="002B1500"/>
    <w:rsid w:val="002B3A80"/>
    <w:rsid w:val="002C6186"/>
    <w:rsid w:val="002F23C3"/>
    <w:rsid w:val="002F6008"/>
    <w:rsid w:val="00301CF5"/>
    <w:rsid w:val="00307101"/>
    <w:rsid w:val="003220E0"/>
    <w:rsid w:val="00342F93"/>
    <w:rsid w:val="00370388"/>
    <w:rsid w:val="00370D1B"/>
    <w:rsid w:val="003800DD"/>
    <w:rsid w:val="00391798"/>
    <w:rsid w:val="003A09B6"/>
    <w:rsid w:val="003C0392"/>
    <w:rsid w:val="00450C0F"/>
    <w:rsid w:val="004746FF"/>
    <w:rsid w:val="00480B05"/>
    <w:rsid w:val="00493589"/>
    <w:rsid w:val="004B57F2"/>
    <w:rsid w:val="004E57DD"/>
    <w:rsid w:val="004F2375"/>
    <w:rsid w:val="004F7A69"/>
    <w:rsid w:val="005101EE"/>
    <w:rsid w:val="00514CC8"/>
    <w:rsid w:val="00520FB9"/>
    <w:rsid w:val="00521D56"/>
    <w:rsid w:val="00537968"/>
    <w:rsid w:val="005413F7"/>
    <w:rsid w:val="00564882"/>
    <w:rsid w:val="005808D3"/>
    <w:rsid w:val="00585002"/>
    <w:rsid w:val="005A1F3D"/>
    <w:rsid w:val="005B5828"/>
    <w:rsid w:val="005E0332"/>
    <w:rsid w:val="00620727"/>
    <w:rsid w:val="00620F1F"/>
    <w:rsid w:val="00627417"/>
    <w:rsid w:val="006A4184"/>
    <w:rsid w:val="006C53B8"/>
    <w:rsid w:val="006E0D4C"/>
    <w:rsid w:val="006F1A5E"/>
    <w:rsid w:val="0070021A"/>
    <w:rsid w:val="00711AA3"/>
    <w:rsid w:val="0071399A"/>
    <w:rsid w:val="00731B6A"/>
    <w:rsid w:val="007539B7"/>
    <w:rsid w:val="00753D9C"/>
    <w:rsid w:val="0076425B"/>
    <w:rsid w:val="007A3883"/>
    <w:rsid w:val="007C2D07"/>
    <w:rsid w:val="007F2FBC"/>
    <w:rsid w:val="00813297"/>
    <w:rsid w:val="00815F48"/>
    <w:rsid w:val="0082219D"/>
    <w:rsid w:val="00847148"/>
    <w:rsid w:val="00876588"/>
    <w:rsid w:val="008866CB"/>
    <w:rsid w:val="008B5381"/>
    <w:rsid w:val="008F445C"/>
    <w:rsid w:val="00901652"/>
    <w:rsid w:val="0091160F"/>
    <w:rsid w:val="00941544"/>
    <w:rsid w:val="009717AC"/>
    <w:rsid w:val="00976E67"/>
    <w:rsid w:val="009A6CE6"/>
    <w:rsid w:val="009A7A11"/>
    <w:rsid w:val="009B0959"/>
    <w:rsid w:val="009C0E9C"/>
    <w:rsid w:val="009C1C45"/>
    <w:rsid w:val="009D0723"/>
    <w:rsid w:val="009D2137"/>
    <w:rsid w:val="009E6878"/>
    <w:rsid w:val="009F1118"/>
    <w:rsid w:val="00A14DE3"/>
    <w:rsid w:val="00A16D2D"/>
    <w:rsid w:val="00A24DD9"/>
    <w:rsid w:val="00A42993"/>
    <w:rsid w:val="00A61B9D"/>
    <w:rsid w:val="00A670EF"/>
    <w:rsid w:val="00A756D1"/>
    <w:rsid w:val="00A771C1"/>
    <w:rsid w:val="00A802B0"/>
    <w:rsid w:val="00AA47E2"/>
    <w:rsid w:val="00AD5D87"/>
    <w:rsid w:val="00B05ED2"/>
    <w:rsid w:val="00B11590"/>
    <w:rsid w:val="00B31653"/>
    <w:rsid w:val="00B42778"/>
    <w:rsid w:val="00B67179"/>
    <w:rsid w:val="00B84128"/>
    <w:rsid w:val="00B9158E"/>
    <w:rsid w:val="00BA06FC"/>
    <w:rsid w:val="00BA493E"/>
    <w:rsid w:val="00BB75A3"/>
    <w:rsid w:val="00BD322B"/>
    <w:rsid w:val="00BD7259"/>
    <w:rsid w:val="00C16DD6"/>
    <w:rsid w:val="00C2425F"/>
    <w:rsid w:val="00C341B4"/>
    <w:rsid w:val="00C47B84"/>
    <w:rsid w:val="00C51426"/>
    <w:rsid w:val="00C54A56"/>
    <w:rsid w:val="00C7576B"/>
    <w:rsid w:val="00C93029"/>
    <w:rsid w:val="00C950B7"/>
    <w:rsid w:val="00CA31B8"/>
    <w:rsid w:val="00CC3E16"/>
    <w:rsid w:val="00CF1B19"/>
    <w:rsid w:val="00D03D25"/>
    <w:rsid w:val="00D25913"/>
    <w:rsid w:val="00D25A87"/>
    <w:rsid w:val="00D3459F"/>
    <w:rsid w:val="00D430AD"/>
    <w:rsid w:val="00D43862"/>
    <w:rsid w:val="00D6231C"/>
    <w:rsid w:val="00D740C6"/>
    <w:rsid w:val="00DA7AC3"/>
    <w:rsid w:val="00DC38E0"/>
    <w:rsid w:val="00DD1B99"/>
    <w:rsid w:val="00DE3DA7"/>
    <w:rsid w:val="00DE5718"/>
    <w:rsid w:val="00DE6963"/>
    <w:rsid w:val="00E225F1"/>
    <w:rsid w:val="00E57456"/>
    <w:rsid w:val="00E60AA3"/>
    <w:rsid w:val="00E65662"/>
    <w:rsid w:val="00E67D95"/>
    <w:rsid w:val="00E830B2"/>
    <w:rsid w:val="00E90479"/>
    <w:rsid w:val="00EA51E0"/>
    <w:rsid w:val="00EA5503"/>
    <w:rsid w:val="00EB040E"/>
    <w:rsid w:val="00EB13F7"/>
    <w:rsid w:val="00EC2729"/>
    <w:rsid w:val="00EE3472"/>
    <w:rsid w:val="00F34C67"/>
    <w:rsid w:val="00F4147B"/>
    <w:rsid w:val="00F56270"/>
    <w:rsid w:val="00F6173D"/>
    <w:rsid w:val="00F65AE9"/>
    <w:rsid w:val="00F77367"/>
    <w:rsid w:val="00FB3E05"/>
    <w:rsid w:val="00FB4176"/>
    <w:rsid w:val="00FB52A7"/>
    <w:rsid w:val="00FC19CF"/>
    <w:rsid w:val="00FD63F1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B9158E"/>
    <w:pPr>
      <w:keepNext/>
      <w:keepLines/>
      <w:spacing w:before="200"/>
      <w:ind w:left="576" w:hanging="576"/>
      <w:textAlignment w:val="baseline"/>
      <w:outlineLvl w:val="1"/>
    </w:pPr>
    <w:rPr>
      <w:rFonts w:ascii="Times New Roman" w:eastAsia="MS Gothic" w:hAnsi="Times New Roman"/>
      <w:b/>
      <w:bCs/>
      <w:szCs w:val="26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qFormat/>
    <w:rsid w:val="00B9158E"/>
    <w:pPr>
      <w:keepNext/>
      <w:keepLines/>
      <w:spacing w:before="200"/>
      <w:ind w:left="720" w:hanging="720"/>
      <w:jc w:val="left"/>
      <w:textAlignment w:val="baseline"/>
      <w:outlineLvl w:val="2"/>
    </w:pPr>
    <w:rPr>
      <w:rFonts w:ascii="Calibri" w:eastAsia="MS Gothic" w:hAnsi="Calibri"/>
      <w:b/>
      <w:bCs/>
      <w:color w:val="4F81BD"/>
      <w:lang w:eastAsia="hi-IN" w:bidi="hi-IN"/>
    </w:rPr>
  </w:style>
  <w:style w:type="paragraph" w:styleId="Ttulo4">
    <w:name w:val="heading 4"/>
    <w:basedOn w:val="Normal"/>
    <w:next w:val="Normal"/>
    <w:link w:val="Ttulo4Char"/>
    <w:uiPriority w:val="9"/>
    <w:qFormat/>
    <w:rsid w:val="00B9158E"/>
    <w:pPr>
      <w:keepNext/>
      <w:keepLines/>
      <w:spacing w:before="200"/>
      <w:ind w:left="864" w:hanging="864"/>
      <w:jc w:val="left"/>
      <w:textAlignment w:val="baseline"/>
      <w:outlineLvl w:val="3"/>
    </w:pPr>
    <w:rPr>
      <w:rFonts w:ascii="Calibri" w:eastAsia="MS Gothic" w:hAnsi="Calibri"/>
      <w:b/>
      <w:bCs/>
      <w:i/>
      <w:iCs/>
      <w:color w:val="4F81BD"/>
      <w:lang w:eastAsia="hi-IN" w:bidi="hi-IN"/>
    </w:rPr>
  </w:style>
  <w:style w:type="paragraph" w:styleId="Ttulo5">
    <w:name w:val="heading 5"/>
    <w:basedOn w:val="Normal"/>
    <w:next w:val="Normal"/>
    <w:link w:val="Ttulo5Char"/>
    <w:uiPriority w:val="9"/>
    <w:qFormat/>
    <w:rsid w:val="00B9158E"/>
    <w:pPr>
      <w:keepNext/>
      <w:keepLines/>
      <w:spacing w:before="200"/>
      <w:ind w:left="1008" w:hanging="1008"/>
      <w:jc w:val="left"/>
      <w:textAlignment w:val="baseline"/>
      <w:outlineLvl w:val="4"/>
    </w:pPr>
    <w:rPr>
      <w:rFonts w:ascii="Calibri" w:eastAsia="MS Gothic" w:hAnsi="Calibri"/>
      <w:color w:val="243F60"/>
      <w:lang w:eastAsia="hi-IN" w:bidi="hi-IN"/>
    </w:rPr>
  </w:style>
  <w:style w:type="paragraph" w:styleId="Ttulo6">
    <w:name w:val="heading 6"/>
    <w:basedOn w:val="Normal"/>
    <w:next w:val="Normal"/>
    <w:link w:val="Ttulo6Char"/>
    <w:uiPriority w:val="9"/>
    <w:qFormat/>
    <w:rsid w:val="00B9158E"/>
    <w:pPr>
      <w:keepNext/>
      <w:keepLines/>
      <w:spacing w:before="200"/>
      <w:ind w:left="1152" w:hanging="1152"/>
      <w:jc w:val="left"/>
      <w:textAlignment w:val="baseline"/>
      <w:outlineLvl w:val="5"/>
    </w:pPr>
    <w:rPr>
      <w:rFonts w:ascii="Calibri" w:eastAsia="MS Gothic" w:hAnsi="Calibri"/>
      <w:i/>
      <w:iCs/>
      <w:color w:val="243F60"/>
      <w:lang w:eastAsia="hi-IN" w:bidi="hi-IN"/>
    </w:rPr>
  </w:style>
  <w:style w:type="paragraph" w:styleId="Ttulo7">
    <w:name w:val="heading 7"/>
    <w:basedOn w:val="Normal"/>
    <w:next w:val="Normal"/>
    <w:link w:val="Ttulo7Char"/>
    <w:uiPriority w:val="9"/>
    <w:qFormat/>
    <w:rsid w:val="00B9158E"/>
    <w:pPr>
      <w:keepNext/>
      <w:keepLines/>
      <w:spacing w:before="200"/>
      <w:ind w:left="1296" w:hanging="1296"/>
      <w:jc w:val="left"/>
      <w:textAlignment w:val="baseline"/>
      <w:outlineLvl w:val="6"/>
    </w:pPr>
    <w:rPr>
      <w:rFonts w:ascii="Calibri" w:eastAsia="MS Gothic" w:hAnsi="Calibri"/>
      <w:i/>
      <w:iCs/>
      <w:color w:val="404040"/>
      <w:lang w:eastAsia="hi-IN" w:bidi="hi-IN"/>
    </w:rPr>
  </w:style>
  <w:style w:type="paragraph" w:styleId="Ttulo8">
    <w:name w:val="heading 8"/>
    <w:basedOn w:val="Normal"/>
    <w:next w:val="Normal"/>
    <w:link w:val="Ttulo8Char"/>
    <w:uiPriority w:val="9"/>
    <w:qFormat/>
    <w:rsid w:val="00B9158E"/>
    <w:pPr>
      <w:keepNext/>
      <w:keepLines/>
      <w:spacing w:before="200"/>
      <w:ind w:left="1440" w:hanging="1440"/>
      <w:jc w:val="left"/>
      <w:textAlignment w:val="baseline"/>
      <w:outlineLvl w:val="7"/>
    </w:pPr>
    <w:rPr>
      <w:rFonts w:ascii="Calibri" w:eastAsia="MS Gothic" w:hAnsi="Calibri"/>
      <w:color w:val="404040"/>
      <w:sz w:val="20"/>
      <w:szCs w:val="20"/>
      <w:lang w:eastAsia="hi-IN" w:bidi="hi-IN"/>
    </w:rPr>
  </w:style>
  <w:style w:type="paragraph" w:styleId="Ttulo9">
    <w:name w:val="heading 9"/>
    <w:basedOn w:val="Normal"/>
    <w:next w:val="Normal"/>
    <w:link w:val="Ttulo9Char"/>
    <w:uiPriority w:val="9"/>
    <w:qFormat/>
    <w:rsid w:val="00B9158E"/>
    <w:pPr>
      <w:keepNext/>
      <w:keepLines/>
      <w:spacing w:before="200"/>
      <w:ind w:left="1584" w:hanging="1584"/>
      <w:jc w:val="left"/>
      <w:textAlignment w:val="baseline"/>
      <w:outlineLvl w:val="8"/>
    </w:pPr>
    <w:rPr>
      <w:rFonts w:ascii="Calibri" w:eastAsia="MS Gothic" w:hAnsi="Calibri"/>
      <w:i/>
      <w:iCs/>
      <w:color w:val="404040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nhideWhenUsed/>
    <w:rsid w:val="000033F3"/>
    <w:rPr>
      <w:vertAlign w:val="superscript"/>
    </w:rPr>
  </w:style>
  <w:style w:type="character" w:customStyle="1" w:styleId="Ttulo2Char">
    <w:name w:val="Título 2 Char"/>
    <w:link w:val="Ttulo2"/>
    <w:uiPriority w:val="9"/>
    <w:rsid w:val="00B9158E"/>
    <w:rPr>
      <w:rFonts w:ascii="Times New Roman" w:eastAsia="MS Gothic" w:hAnsi="Times New Roman"/>
      <w:b/>
      <w:bCs/>
      <w:kern w:val="1"/>
      <w:sz w:val="24"/>
      <w:szCs w:val="26"/>
      <w:lang w:eastAsia="hi-IN" w:bidi="hi-IN"/>
    </w:rPr>
  </w:style>
  <w:style w:type="character" w:customStyle="1" w:styleId="Ttulo3Char">
    <w:name w:val="Título 3 Char"/>
    <w:link w:val="Ttulo3"/>
    <w:uiPriority w:val="9"/>
    <w:rsid w:val="00B9158E"/>
    <w:rPr>
      <w:rFonts w:eastAsia="MS Gothic"/>
      <w:b/>
      <w:bCs/>
      <w:color w:val="4F81BD"/>
      <w:kern w:val="1"/>
      <w:sz w:val="24"/>
      <w:szCs w:val="24"/>
      <w:lang w:eastAsia="hi-IN" w:bidi="hi-IN"/>
    </w:rPr>
  </w:style>
  <w:style w:type="character" w:customStyle="1" w:styleId="Ttulo4Char">
    <w:name w:val="Título 4 Char"/>
    <w:link w:val="Ttulo4"/>
    <w:uiPriority w:val="9"/>
    <w:rsid w:val="00B9158E"/>
    <w:rPr>
      <w:rFonts w:eastAsia="MS Gothic"/>
      <w:b/>
      <w:bCs/>
      <w:i/>
      <w:iCs/>
      <w:color w:val="4F81BD"/>
      <w:kern w:val="1"/>
      <w:sz w:val="24"/>
      <w:szCs w:val="24"/>
      <w:lang w:eastAsia="hi-IN" w:bidi="hi-IN"/>
    </w:rPr>
  </w:style>
  <w:style w:type="character" w:customStyle="1" w:styleId="Ttulo5Char">
    <w:name w:val="Título 5 Char"/>
    <w:link w:val="Ttulo5"/>
    <w:uiPriority w:val="9"/>
    <w:semiHidden/>
    <w:rsid w:val="00B9158E"/>
    <w:rPr>
      <w:rFonts w:eastAsia="MS Gothic"/>
      <w:color w:val="243F60"/>
      <w:kern w:val="1"/>
      <w:sz w:val="24"/>
      <w:szCs w:val="24"/>
      <w:lang w:eastAsia="hi-IN" w:bidi="hi-IN"/>
    </w:rPr>
  </w:style>
  <w:style w:type="character" w:customStyle="1" w:styleId="Ttulo6Char">
    <w:name w:val="Título 6 Char"/>
    <w:link w:val="Ttulo6"/>
    <w:uiPriority w:val="9"/>
    <w:semiHidden/>
    <w:rsid w:val="00B9158E"/>
    <w:rPr>
      <w:rFonts w:eastAsia="MS Gothic"/>
      <w:i/>
      <w:iCs/>
      <w:color w:val="243F60"/>
      <w:kern w:val="1"/>
      <w:sz w:val="24"/>
      <w:szCs w:val="24"/>
      <w:lang w:eastAsia="hi-IN" w:bidi="hi-IN"/>
    </w:rPr>
  </w:style>
  <w:style w:type="character" w:customStyle="1" w:styleId="Ttulo7Char">
    <w:name w:val="Título 7 Char"/>
    <w:link w:val="Ttulo7"/>
    <w:uiPriority w:val="9"/>
    <w:semiHidden/>
    <w:rsid w:val="00B9158E"/>
    <w:rPr>
      <w:rFonts w:eastAsia="MS Gothic"/>
      <w:i/>
      <w:iCs/>
      <w:color w:val="404040"/>
      <w:kern w:val="1"/>
      <w:sz w:val="24"/>
      <w:szCs w:val="24"/>
      <w:lang w:eastAsia="hi-IN" w:bidi="hi-IN"/>
    </w:rPr>
  </w:style>
  <w:style w:type="character" w:customStyle="1" w:styleId="Ttulo8Char">
    <w:name w:val="Título 8 Char"/>
    <w:link w:val="Ttulo8"/>
    <w:uiPriority w:val="9"/>
    <w:semiHidden/>
    <w:rsid w:val="00B9158E"/>
    <w:rPr>
      <w:rFonts w:eastAsia="MS Gothic"/>
      <w:color w:val="404040"/>
      <w:kern w:val="1"/>
      <w:lang w:eastAsia="hi-IN" w:bidi="hi-IN"/>
    </w:rPr>
  </w:style>
  <w:style w:type="character" w:customStyle="1" w:styleId="Ttulo9Char">
    <w:name w:val="Título 9 Char"/>
    <w:link w:val="Ttulo9"/>
    <w:uiPriority w:val="9"/>
    <w:semiHidden/>
    <w:rsid w:val="00B9158E"/>
    <w:rPr>
      <w:rFonts w:eastAsia="MS Gothic"/>
      <w:i/>
      <w:iCs/>
      <w:color w:val="404040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B9158E"/>
    <w:pPr>
      <w:widowControl/>
      <w:suppressAutoHyphens w:val="0"/>
      <w:spacing w:before="100" w:beforeAutospacing="1" w:after="119"/>
      <w:ind w:firstLine="0"/>
      <w:jc w:val="left"/>
    </w:pPr>
    <w:rPr>
      <w:rFonts w:ascii="Times" w:eastAsia="Times New Roman" w:hAnsi="Times"/>
      <w:kern w:val="0"/>
      <w:sz w:val="20"/>
      <w:szCs w:val="20"/>
      <w:lang w:eastAsia="en-US"/>
    </w:rPr>
  </w:style>
  <w:style w:type="paragraph" w:customStyle="1" w:styleId="normal0">
    <w:name w:val="normal"/>
    <w:rsid w:val="009A7A1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PADROArtigo">
    <w:name w:val="PADRÃO Artigo"/>
    <w:basedOn w:val="normal0"/>
    <w:qFormat/>
    <w:rsid w:val="00E225F1"/>
    <w:pPr>
      <w:spacing w:after="120" w:line="360" w:lineRule="auto"/>
      <w:ind w:firstLine="1134"/>
      <w:jc w:val="both"/>
    </w:pPr>
    <w:rPr>
      <w:rFonts w:ascii="Arial" w:eastAsia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A83E-66BE-49CB-BA8D-DC7282B2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1074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Furg</cp:lastModifiedBy>
  <cp:revision>8</cp:revision>
  <cp:lastPrinted>2014-07-11T14:27:00Z</cp:lastPrinted>
  <dcterms:created xsi:type="dcterms:W3CDTF">2014-07-01T20:52:00Z</dcterms:created>
  <dcterms:modified xsi:type="dcterms:W3CDTF">2014-07-11T19:45:00Z</dcterms:modified>
</cp:coreProperties>
</file>