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CB6980" w:rsidRDefault="00CB6980" w:rsidP="0046194F">
      <w:pPr>
        <w:jc w:val="center"/>
        <w:rPr>
          <w:rFonts w:ascii="Arial" w:hAnsi="Arial" w:cs="Arial"/>
          <w:b/>
        </w:rPr>
      </w:pPr>
      <w:r w:rsidRPr="00CB6980">
        <w:rPr>
          <w:rFonts w:ascii="Arial" w:hAnsi="Arial" w:cs="Arial"/>
          <w:b/>
        </w:rPr>
        <w:t>PR</w:t>
      </w:r>
      <w:r w:rsidR="00131776" w:rsidRPr="00CB6980">
        <w:rPr>
          <w:rFonts w:ascii="Arial" w:hAnsi="Arial" w:cs="Arial"/>
          <w:b/>
        </w:rPr>
        <w:t>OPRIEDADE QUILOMBOLA: METODOLOGIA E HERMENÊUTICA JURÍDICA PARA UMA FUSÃO DE HORIZONTES</w:t>
      </w:r>
    </w:p>
    <w:p w:rsidR="0046194F" w:rsidRPr="00CB6980" w:rsidRDefault="0046194F" w:rsidP="0046194F">
      <w:pPr>
        <w:jc w:val="center"/>
        <w:rPr>
          <w:rFonts w:ascii="Arial" w:hAnsi="Arial" w:cs="Arial"/>
        </w:rPr>
      </w:pPr>
    </w:p>
    <w:p w:rsidR="00CA4B29" w:rsidRPr="00CB6980" w:rsidRDefault="00CA4B29" w:rsidP="008B436A">
      <w:pPr>
        <w:rPr>
          <w:rFonts w:ascii="Arial" w:hAnsi="Arial" w:cs="Arial"/>
          <w:b/>
        </w:rPr>
      </w:pPr>
    </w:p>
    <w:p w:rsidR="0046194F" w:rsidRPr="00CB6980" w:rsidRDefault="0046194F" w:rsidP="008B436A">
      <w:pPr>
        <w:rPr>
          <w:rFonts w:ascii="Arial" w:hAnsi="Arial" w:cs="Arial"/>
        </w:rPr>
      </w:pPr>
      <w:r w:rsidRPr="00CB6980">
        <w:rPr>
          <w:rFonts w:ascii="Arial" w:hAnsi="Arial" w:cs="Arial"/>
          <w:b/>
        </w:rPr>
        <w:t>Nome dos autores:</w:t>
      </w:r>
      <w:r w:rsidRPr="00CB6980">
        <w:rPr>
          <w:rFonts w:ascii="Arial" w:hAnsi="Arial" w:cs="Arial"/>
        </w:rPr>
        <w:t xml:space="preserve"> </w:t>
      </w:r>
    </w:p>
    <w:p w:rsidR="0046194F" w:rsidRPr="00CB6980" w:rsidRDefault="00887C45" w:rsidP="00943A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Ana C</w:t>
      </w:r>
      <w:r w:rsidR="00943A08" w:rsidRPr="00CB6980">
        <w:rPr>
          <w:rFonts w:ascii="Arial" w:hAnsi="Arial" w:cs="Arial"/>
        </w:rPr>
        <w:t>lara Correa Henning</w:t>
      </w:r>
    </w:p>
    <w:p w:rsidR="0046194F" w:rsidRPr="00CB6980" w:rsidRDefault="0046194F" w:rsidP="0046194F">
      <w:pPr>
        <w:jc w:val="right"/>
        <w:rPr>
          <w:rFonts w:ascii="Arial" w:hAnsi="Arial" w:cs="Arial"/>
        </w:rPr>
      </w:pPr>
    </w:p>
    <w:p w:rsidR="0046194F" w:rsidRPr="00CB6980" w:rsidRDefault="0046194F" w:rsidP="0046194F">
      <w:pPr>
        <w:jc w:val="right"/>
        <w:rPr>
          <w:rFonts w:ascii="Arial" w:hAnsi="Arial" w:cs="Arial"/>
        </w:rPr>
      </w:pPr>
    </w:p>
    <w:p w:rsidR="00887C45" w:rsidRDefault="00CA4B29" w:rsidP="00887C45">
      <w:pPr>
        <w:jc w:val="both"/>
        <w:rPr>
          <w:rFonts w:ascii="Arial" w:hAnsi="Arial" w:cs="Arial"/>
          <w:b/>
        </w:rPr>
      </w:pPr>
      <w:r w:rsidRPr="00CB6980">
        <w:rPr>
          <w:rFonts w:ascii="Arial" w:hAnsi="Arial" w:cs="Arial"/>
          <w:b/>
        </w:rPr>
        <w:t xml:space="preserve">Área do Conhecimento: </w:t>
      </w:r>
    </w:p>
    <w:p w:rsidR="00CA4B29" w:rsidRPr="00CB6980" w:rsidRDefault="00887C45" w:rsidP="00887C45">
      <w:pPr>
        <w:jc w:val="right"/>
        <w:rPr>
          <w:rFonts w:ascii="Arial" w:hAnsi="Arial" w:cs="Arial"/>
        </w:rPr>
      </w:pPr>
      <w:r w:rsidRPr="00887C45">
        <w:rPr>
          <w:rFonts w:ascii="Arial" w:hAnsi="Arial" w:cs="Arial"/>
        </w:rPr>
        <w:t>6.01.01.00-8</w:t>
      </w:r>
      <w:r w:rsidR="00F81080">
        <w:rPr>
          <w:rFonts w:ascii="Arial" w:hAnsi="Arial" w:cs="Arial"/>
        </w:rPr>
        <w:t xml:space="preserve">; </w:t>
      </w:r>
      <w:r w:rsidR="00F81080" w:rsidRPr="00F81080">
        <w:rPr>
          <w:rFonts w:ascii="Arial" w:hAnsi="Arial" w:cs="Arial"/>
        </w:rPr>
        <w:t>6.01.03.00-0</w:t>
      </w:r>
    </w:p>
    <w:p w:rsidR="00CA4B29" w:rsidRPr="00CB6980" w:rsidRDefault="00CA4B29" w:rsidP="0046194F">
      <w:pPr>
        <w:jc w:val="both"/>
        <w:rPr>
          <w:rFonts w:ascii="Arial" w:hAnsi="Arial" w:cs="Arial"/>
          <w:b/>
        </w:rPr>
      </w:pPr>
    </w:p>
    <w:p w:rsidR="00CA4B29" w:rsidRPr="00CB6980" w:rsidRDefault="00CA4B29" w:rsidP="0046194F">
      <w:pPr>
        <w:jc w:val="both"/>
        <w:rPr>
          <w:rFonts w:ascii="Arial" w:hAnsi="Arial" w:cs="Arial"/>
          <w:b/>
        </w:rPr>
      </w:pPr>
    </w:p>
    <w:p w:rsidR="0046194F" w:rsidRPr="00CB6980" w:rsidRDefault="0046194F" w:rsidP="0046194F">
      <w:pPr>
        <w:jc w:val="both"/>
        <w:rPr>
          <w:rFonts w:ascii="Arial" w:hAnsi="Arial" w:cs="Arial"/>
        </w:rPr>
      </w:pPr>
      <w:r w:rsidRPr="00CB6980">
        <w:rPr>
          <w:rFonts w:ascii="Arial" w:hAnsi="Arial" w:cs="Arial"/>
          <w:b/>
        </w:rPr>
        <w:t>Palavras Chave:</w:t>
      </w:r>
      <w:r w:rsidR="00943A08" w:rsidRPr="00CB6980">
        <w:rPr>
          <w:rFonts w:ascii="Arial" w:hAnsi="Arial" w:cs="Arial"/>
        </w:rPr>
        <w:t xml:space="preserve"> </w:t>
      </w:r>
      <w:r w:rsidR="00CB6980" w:rsidRPr="00CB6980">
        <w:rPr>
          <w:rFonts w:ascii="Arial" w:hAnsi="Arial" w:cs="Arial"/>
        </w:rPr>
        <w:t>art. 68 ADCT</w:t>
      </w:r>
      <w:r w:rsidR="007A5D5A" w:rsidRPr="00CB6980">
        <w:rPr>
          <w:rFonts w:ascii="Arial" w:hAnsi="Arial" w:cs="Arial"/>
        </w:rPr>
        <w:t xml:space="preserve">; pesquisa transdisciplinar; </w:t>
      </w:r>
      <w:r w:rsidR="00131776" w:rsidRPr="00CB6980">
        <w:rPr>
          <w:rFonts w:ascii="Arial" w:hAnsi="Arial" w:cs="Arial"/>
        </w:rPr>
        <w:t xml:space="preserve">interpretação </w:t>
      </w:r>
      <w:r w:rsidR="007A5D5A" w:rsidRPr="00CB6980">
        <w:rPr>
          <w:rFonts w:ascii="Arial" w:hAnsi="Arial" w:cs="Arial"/>
        </w:rPr>
        <w:t>jurídica.</w:t>
      </w:r>
    </w:p>
    <w:p w:rsidR="0046194F" w:rsidRPr="00CB6980" w:rsidRDefault="0046194F" w:rsidP="0046194F">
      <w:pPr>
        <w:jc w:val="both"/>
        <w:rPr>
          <w:rFonts w:ascii="Arial" w:hAnsi="Arial" w:cs="Arial"/>
        </w:rPr>
      </w:pPr>
    </w:p>
    <w:p w:rsidR="0046194F" w:rsidRPr="00CB6980" w:rsidRDefault="0046194F" w:rsidP="0046194F">
      <w:pPr>
        <w:jc w:val="both"/>
        <w:rPr>
          <w:rFonts w:ascii="Arial" w:hAnsi="Arial" w:cs="Arial"/>
        </w:rPr>
      </w:pPr>
    </w:p>
    <w:p w:rsidR="0046194F" w:rsidRPr="00CB6980" w:rsidRDefault="0046194F" w:rsidP="0046194F">
      <w:pPr>
        <w:jc w:val="both"/>
        <w:rPr>
          <w:rFonts w:ascii="Arial" w:hAnsi="Arial" w:cs="Arial"/>
        </w:rPr>
      </w:pPr>
      <w:r w:rsidRPr="00CB6980">
        <w:rPr>
          <w:rFonts w:ascii="Arial" w:hAnsi="Arial" w:cs="Arial"/>
          <w:b/>
        </w:rPr>
        <w:t>Resumo</w:t>
      </w:r>
      <w:r w:rsidRPr="00CB6980">
        <w:rPr>
          <w:rFonts w:ascii="Arial" w:hAnsi="Arial" w:cs="Arial"/>
        </w:rPr>
        <w:t xml:space="preserve"> </w:t>
      </w:r>
    </w:p>
    <w:p w:rsidR="006B45F4" w:rsidRPr="00CB6980" w:rsidRDefault="00FB4397" w:rsidP="0046194F">
      <w:pPr>
        <w:jc w:val="both"/>
        <w:rPr>
          <w:rFonts w:ascii="Arial" w:hAnsi="Arial" w:cs="Arial"/>
        </w:rPr>
      </w:pPr>
      <w:r w:rsidRPr="00CB6980">
        <w:rPr>
          <w:rFonts w:ascii="Arial" w:hAnsi="Arial" w:cs="Arial"/>
        </w:rPr>
        <w:t>Pretende-se f</w:t>
      </w:r>
      <w:r w:rsidR="006B45F4" w:rsidRPr="00CB6980">
        <w:rPr>
          <w:rFonts w:ascii="Arial" w:hAnsi="Arial" w:cs="Arial"/>
        </w:rPr>
        <w:t xml:space="preserve">undamentar, em estudo bibliográfico, uma proposta </w:t>
      </w:r>
      <w:r w:rsidR="00564997" w:rsidRPr="00CB6980">
        <w:rPr>
          <w:rFonts w:ascii="Arial" w:hAnsi="Arial" w:cs="Arial"/>
        </w:rPr>
        <w:t xml:space="preserve">metodológica </w:t>
      </w:r>
      <w:r w:rsidR="006B45F4" w:rsidRPr="00CB6980">
        <w:rPr>
          <w:rFonts w:ascii="Arial" w:hAnsi="Arial" w:cs="Arial"/>
        </w:rPr>
        <w:t>transdisciplinar de investigação do direito de propriedade advindo do art. 68 do ADCT, através da adoção de um método científico e de uma hermenêutica que considerem o substrato histórico, antropológico e econômico do sistema jurídico que regula a propriedade quilombola</w:t>
      </w:r>
      <w:r w:rsidRPr="00CB6980">
        <w:rPr>
          <w:rFonts w:ascii="Arial" w:hAnsi="Arial" w:cs="Arial"/>
        </w:rPr>
        <w:t>. Tal procedimento é, portanto, substancialmente diferente daquele empregado pelo formalismo jurídico.</w:t>
      </w:r>
    </w:p>
    <w:p w:rsidR="006B45F4" w:rsidRPr="00CB6980" w:rsidRDefault="00C5725D" w:rsidP="0046194F">
      <w:pPr>
        <w:jc w:val="both"/>
        <w:rPr>
          <w:rFonts w:ascii="Arial" w:hAnsi="Arial" w:cs="Arial"/>
        </w:rPr>
      </w:pPr>
      <w:r w:rsidRPr="00CB6980">
        <w:rPr>
          <w:rFonts w:ascii="Arial" w:hAnsi="Arial" w:cs="Arial"/>
        </w:rPr>
        <w:t>A</w:t>
      </w:r>
      <w:r w:rsidR="00FB4397" w:rsidRPr="00CB6980">
        <w:rPr>
          <w:rFonts w:ascii="Arial" w:hAnsi="Arial" w:cs="Arial"/>
        </w:rPr>
        <w:t xml:space="preserve"> hermenêutica </w:t>
      </w:r>
      <w:proofErr w:type="spellStart"/>
      <w:r w:rsidR="00FB4397" w:rsidRPr="00CB6980">
        <w:rPr>
          <w:rFonts w:ascii="Arial" w:hAnsi="Arial" w:cs="Arial"/>
        </w:rPr>
        <w:t>gadameriana</w:t>
      </w:r>
      <w:proofErr w:type="spellEnd"/>
      <w:r w:rsidR="00FB4397" w:rsidRPr="00CB6980">
        <w:rPr>
          <w:rFonts w:ascii="Arial" w:hAnsi="Arial" w:cs="Arial"/>
        </w:rPr>
        <w:t xml:space="preserve"> é contraposta ao positivismo na interpretação da norma: neste, a primazia da regra legal, que </w:t>
      </w:r>
      <w:proofErr w:type="spellStart"/>
      <w:r w:rsidR="00FB4397" w:rsidRPr="00CB6980">
        <w:rPr>
          <w:rFonts w:ascii="Arial" w:hAnsi="Arial" w:cs="Arial"/>
        </w:rPr>
        <w:t>Gadamer</w:t>
      </w:r>
      <w:proofErr w:type="spellEnd"/>
      <w:r w:rsidR="00FB4397" w:rsidRPr="00CB6980">
        <w:rPr>
          <w:rFonts w:ascii="Arial" w:hAnsi="Arial" w:cs="Arial"/>
        </w:rPr>
        <w:t xml:space="preserve"> entende como um pré-conceito ilegítimo; naquela, da fusão de horizontes do intérprete com o texto. O espaço </w:t>
      </w:r>
      <w:proofErr w:type="spellStart"/>
      <w:r w:rsidR="00FB4397" w:rsidRPr="00CB6980">
        <w:rPr>
          <w:rFonts w:ascii="Arial" w:hAnsi="Arial" w:cs="Arial"/>
        </w:rPr>
        <w:t>recontextualidor</w:t>
      </w:r>
      <w:proofErr w:type="spellEnd"/>
      <w:r w:rsidR="00FB4397" w:rsidRPr="00CB6980">
        <w:rPr>
          <w:rFonts w:ascii="Arial" w:hAnsi="Arial" w:cs="Arial"/>
        </w:rPr>
        <w:t xml:space="preserve"> da criatividade, da dimensão histórica é, no entendimento de </w:t>
      </w:r>
      <w:proofErr w:type="spellStart"/>
      <w:r w:rsidR="00FB4397" w:rsidRPr="00CB6980">
        <w:rPr>
          <w:rFonts w:ascii="Arial" w:hAnsi="Arial" w:cs="Arial"/>
        </w:rPr>
        <w:t>Gadamer</w:t>
      </w:r>
      <w:proofErr w:type="spellEnd"/>
      <w:r w:rsidR="00FB4397" w:rsidRPr="00CB6980">
        <w:rPr>
          <w:rFonts w:ascii="Arial" w:hAnsi="Arial" w:cs="Arial"/>
        </w:rPr>
        <w:t xml:space="preserve">, vital para a adequada interpretação, compreensão e </w:t>
      </w:r>
      <w:r w:rsidR="0060369E" w:rsidRPr="00CB6980">
        <w:rPr>
          <w:rFonts w:ascii="Arial" w:hAnsi="Arial" w:cs="Arial"/>
        </w:rPr>
        <w:t>tomada de decisão do hermeneuta</w:t>
      </w:r>
      <w:r w:rsidR="00A11528" w:rsidRPr="00CB6980">
        <w:rPr>
          <w:rFonts w:ascii="Arial" w:hAnsi="Arial" w:cs="Arial"/>
        </w:rPr>
        <w:t>.</w:t>
      </w:r>
    </w:p>
    <w:p w:rsidR="00A11528" w:rsidRPr="00CB6980" w:rsidRDefault="00A11528" w:rsidP="0046194F">
      <w:pPr>
        <w:jc w:val="both"/>
        <w:rPr>
          <w:rFonts w:ascii="Arial" w:hAnsi="Arial" w:cs="Arial"/>
        </w:rPr>
      </w:pPr>
      <w:r w:rsidRPr="00CB6980">
        <w:rPr>
          <w:rFonts w:ascii="Arial" w:hAnsi="Arial" w:cs="Arial"/>
        </w:rPr>
        <w:t>O sistema jurídico se encontra em constante mutação e traduz as decisões tomadas pela sociedade a fim de regrar o comportamento de seus membros.</w:t>
      </w:r>
      <w:r w:rsidR="00C5725D" w:rsidRPr="00CB6980">
        <w:rPr>
          <w:rFonts w:ascii="Arial" w:hAnsi="Arial" w:cs="Arial"/>
        </w:rPr>
        <w:t xml:space="preserve"> Assim</w:t>
      </w:r>
      <w:r w:rsidR="00BA66EF" w:rsidRPr="00CB6980">
        <w:rPr>
          <w:rFonts w:ascii="Arial" w:hAnsi="Arial" w:cs="Arial"/>
        </w:rPr>
        <w:t>, a</w:t>
      </w:r>
      <w:r w:rsidRPr="00CB6980">
        <w:rPr>
          <w:rFonts w:ascii="Arial" w:hAnsi="Arial" w:cs="Arial"/>
        </w:rPr>
        <w:t xml:space="preserve"> formação do horizonte do </w:t>
      </w:r>
      <w:r w:rsidR="0060369E" w:rsidRPr="00CB6980">
        <w:rPr>
          <w:rFonts w:ascii="Arial" w:hAnsi="Arial" w:cs="Arial"/>
        </w:rPr>
        <w:t>intérprete</w:t>
      </w:r>
      <w:r w:rsidRPr="00CB6980">
        <w:rPr>
          <w:rFonts w:ascii="Arial" w:hAnsi="Arial" w:cs="Arial"/>
        </w:rPr>
        <w:t xml:space="preserve"> é fruto não somente do passado, mas também na sua contextualização no presente</w:t>
      </w:r>
      <w:r w:rsidR="00BA66EF" w:rsidRPr="00CB6980">
        <w:rPr>
          <w:rFonts w:ascii="Arial" w:hAnsi="Arial" w:cs="Arial"/>
        </w:rPr>
        <w:t>, em uma fusão de horizontes</w:t>
      </w:r>
      <w:r w:rsidRPr="00CB6980">
        <w:rPr>
          <w:rFonts w:ascii="Arial" w:hAnsi="Arial" w:cs="Arial"/>
        </w:rPr>
        <w:t>. Daí a necessidade da investigação se debruçar sobre os índices de exclusão</w:t>
      </w:r>
      <w:r w:rsidR="00BA66EF" w:rsidRPr="00CB6980">
        <w:rPr>
          <w:rFonts w:ascii="Arial" w:hAnsi="Arial" w:cs="Arial"/>
        </w:rPr>
        <w:t xml:space="preserve"> da etnia negra no Brasil contemporâneo</w:t>
      </w:r>
      <w:r w:rsidRPr="00CB6980">
        <w:rPr>
          <w:rFonts w:ascii="Arial" w:hAnsi="Arial" w:cs="Arial"/>
        </w:rPr>
        <w:t>, especialmente</w:t>
      </w:r>
      <w:r w:rsidR="00BA66EF" w:rsidRPr="00CB6980">
        <w:rPr>
          <w:rFonts w:ascii="Arial" w:hAnsi="Arial" w:cs="Arial"/>
        </w:rPr>
        <w:t xml:space="preserve"> a econômica.</w:t>
      </w:r>
    </w:p>
    <w:p w:rsidR="0060369E" w:rsidRPr="00CB6980" w:rsidRDefault="0060369E" w:rsidP="0046194F">
      <w:pPr>
        <w:jc w:val="both"/>
        <w:rPr>
          <w:rFonts w:ascii="Arial" w:hAnsi="Arial" w:cs="Arial"/>
        </w:rPr>
      </w:pPr>
      <w:r w:rsidRPr="00CB6980">
        <w:rPr>
          <w:rFonts w:ascii="Arial" w:hAnsi="Arial" w:cs="Arial"/>
        </w:rPr>
        <w:t xml:space="preserve">Dessa forma, através da investigação bibliográfica e da análise de dados estatísticos do IPADE, pode-se observar o significativo grau de exclusão social que a etnia negra está inserida. O direito de propriedade às terras quilombolas </w:t>
      </w:r>
      <w:r w:rsidR="00835CF2" w:rsidRPr="00CB6980">
        <w:rPr>
          <w:rFonts w:ascii="Arial" w:hAnsi="Arial" w:cs="Arial"/>
        </w:rPr>
        <w:t>constitui</w:t>
      </w:r>
      <w:r w:rsidRPr="00CB6980">
        <w:rPr>
          <w:rFonts w:ascii="Arial" w:hAnsi="Arial" w:cs="Arial"/>
        </w:rPr>
        <w:t xml:space="preserve"> não apenas uma reparação histórica, mas um instrumento de redistribuição econômica e uma importante densificação do</w:t>
      </w:r>
      <w:r w:rsidR="00FC1043" w:rsidRPr="00CB6980">
        <w:rPr>
          <w:rFonts w:ascii="Arial" w:hAnsi="Arial" w:cs="Arial"/>
        </w:rPr>
        <w:t>s</w:t>
      </w:r>
      <w:r w:rsidRPr="00CB6980">
        <w:rPr>
          <w:rFonts w:ascii="Arial" w:hAnsi="Arial" w:cs="Arial"/>
        </w:rPr>
        <w:t xml:space="preserve"> princípio</w:t>
      </w:r>
      <w:r w:rsidR="00FC1043" w:rsidRPr="00CB6980">
        <w:rPr>
          <w:rFonts w:ascii="Arial" w:hAnsi="Arial" w:cs="Arial"/>
        </w:rPr>
        <w:t>s constitucionais</w:t>
      </w:r>
      <w:r w:rsidRPr="00CB6980">
        <w:rPr>
          <w:rFonts w:ascii="Arial" w:hAnsi="Arial" w:cs="Arial"/>
        </w:rPr>
        <w:t xml:space="preserve"> da </w:t>
      </w:r>
      <w:r w:rsidR="00FC1043" w:rsidRPr="00CB6980">
        <w:rPr>
          <w:rFonts w:ascii="Arial" w:hAnsi="Arial" w:cs="Arial"/>
        </w:rPr>
        <w:t xml:space="preserve">igualdade material e da </w:t>
      </w:r>
      <w:r w:rsidRPr="00CB6980">
        <w:rPr>
          <w:rFonts w:ascii="Arial" w:hAnsi="Arial" w:cs="Arial"/>
        </w:rPr>
        <w:t xml:space="preserve">função social da propriedade. </w:t>
      </w:r>
    </w:p>
    <w:sectPr w:rsidR="0060369E" w:rsidRPr="00CB6980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11" w:rsidRDefault="004A5B11">
      <w:r>
        <w:separator/>
      </w:r>
    </w:p>
  </w:endnote>
  <w:endnote w:type="continuationSeparator" w:id="0">
    <w:p w:rsidR="004A5B11" w:rsidRDefault="004A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11" w:rsidRDefault="004A5B11">
      <w:r>
        <w:separator/>
      </w:r>
    </w:p>
  </w:footnote>
  <w:footnote w:type="continuationSeparator" w:id="0">
    <w:p w:rsidR="004A5B11" w:rsidRDefault="004A5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F37B6D" w:rsidP="002A0302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126pt">
          <v:imagedata r:id="rId1" o:title="Header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40CBD"/>
    <w:rsid w:val="00044401"/>
    <w:rsid w:val="00131776"/>
    <w:rsid w:val="001E56B2"/>
    <w:rsid w:val="00265054"/>
    <w:rsid w:val="002A0302"/>
    <w:rsid w:val="00330EFF"/>
    <w:rsid w:val="003A47A5"/>
    <w:rsid w:val="00404583"/>
    <w:rsid w:val="0046194F"/>
    <w:rsid w:val="004A5B11"/>
    <w:rsid w:val="00564997"/>
    <w:rsid w:val="0060369E"/>
    <w:rsid w:val="006B45F4"/>
    <w:rsid w:val="006E3E3D"/>
    <w:rsid w:val="007A5D5A"/>
    <w:rsid w:val="007F6084"/>
    <w:rsid w:val="007F753C"/>
    <w:rsid w:val="00835CF2"/>
    <w:rsid w:val="00887C45"/>
    <w:rsid w:val="008B436A"/>
    <w:rsid w:val="00936581"/>
    <w:rsid w:val="00943A08"/>
    <w:rsid w:val="00972CDB"/>
    <w:rsid w:val="009A6836"/>
    <w:rsid w:val="00A11528"/>
    <w:rsid w:val="00B44324"/>
    <w:rsid w:val="00B912F5"/>
    <w:rsid w:val="00BA66EF"/>
    <w:rsid w:val="00C5725D"/>
    <w:rsid w:val="00CA4B29"/>
    <w:rsid w:val="00CB6980"/>
    <w:rsid w:val="00EB5B3A"/>
    <w:rsid w:val="00EE6C7B"/>
    <w:rsid w:val="00F37B6D"/>
    <w:rsid w:val="00F81080"/>
    <w:rsid w:val="00FB4397"/>
    <w:rsid w:val="00FC1043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E2E40-14F4-4828-A019-3D81F314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Usuario</cp:lastModifiedBy>
  <cp:revision>2</cp:revision>
  <cp:lastPrinted>2011-07-22T11:48:00Z</cp:lastPrinted>
  <dcterms:created xsi:type="dcterms:W3CDTF">2012-08-01T18:34:00Z</dcterms:created>
  <dcterms:modified xsi:type="dcterms:W3CDTF">2012-08-01T18:34:00Z</dcterms:modified>
</cp:coreProperties>
</file>