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AA62EF" w:rsidRPr="00AA62EF" w:rsidRDefault="00AA62EF" w:rsidP="00AA62EF">
      <w:pPr>
        <w:ind w:firstLine="0"/>
        <w:jc w:val="center"/>
        <w:rPr>
          <w:b/>
        </w:rPr>
      </w:pPr>
    </w:p>
    <w:p w:rsidR="0029083B" w:rsidRDefault="00AA62EF" w:rsidP="0032075C">
      <w:pPr>
        <w:ind w:firstLine="0"/>
        <w:jc w:val="center"/>
        <w:rPr>
          <w:b/>
        </w:rPr>
      </w:pPr>
      <w:r w:rsidRPr="00AA62EF">
        <w:rPr>
          <w:b/>
        </w:rPr>
        <w:t>E</w:t>
      </w:r>
      <w:r>
        <w:rPr>
          <w:b/>
        </w:rPr>
        <w:t xml:space="preserve">XPRESSÃO DO GENE </w:t>
      </w:r>
      <w:r w:rsidR="00D064BB">
        <w:rPr>
          <w:b/>
          <w:i/>
        </w:rPr>
        <w:t>t</w:t>
      </w:r>
      <w:r w:rsidR="00D064BB" w:rsidRPr="00AA62EF">
        <w:rPr>
          <w:b/>
          <w:i/>
        </w:rPr>
        <w:t>ap</w:t>
      </w:r>
      <w:r w:rsidR="00D064BB">
        <w:rPr>
          <w:b/>
        </w:rPr>
        <w:t xml:space="preserve"> </w:t>
      </w:r>
      <w:r>
        <w:rPr>
          <w:b/>
        </w:rPr>
        <w:t xml:space="preserve">DE </w:t>
      </w:r>
      <w:r>
        <w:rPr>
          <w:b/>
          <w:i/>
        </w:rPr>
        <w:t>M</w:t>
      </w:r>
      <w:r w:rsidR="00B0047B">
        <w:rPr>
          <w:b/>
          <w:i/>
        </w:rPr>
        <w:t xml:space="preserve">ycobacterium fortuitum </w:t>
      </w:r>
      <w:r>
        <w:rPr>
          <w:b/>
        </w:rPr>
        <w:t>E SUA RELAÇÃO COM A RESISTÊNCIA A MÚLTIPLOS FÁRMACOS</w:t>
      </w:r>
    </w:p>
    <w:p w:rsidR="0029083B" w:rsidRDefault="0029083B" w:rsidP="0029083B">
      <w:pPr>
        <w:ind w:firstLine="0"/>
        <w:jc w:val="right"/>
        <w:rPr>
          <w:b/>
        </w:rPr>
      </w:pPr>
    </w:p>
    <w:p w:rsidR="0032075C" w:rsidRDefault="002D2505" w:rsidP="0029083B">
      <w:pPr>
        <w:ind w:firstLine="0"/>
        <w:jc w:val="right"/>
        <w:rPr>
          <w:b/>
        </w:rPr>
      </w:pPr>
      <w:r>
        <w:rPr>
          <w:b/>
        </w:rPr>
        <w:t>SCAINI</w:t>
      </w:r>
      <w:r w:rsidR="00AA62EF">
        <w:rPr>
          <w:b/>
        </w:rPr>
        <w:t>,</w:t>
      </w:r>
      <w:r w:rsidR="00C47B84">
        <w:rPr>
          <w:b/>
        </w:rPr>
        <w:t xml:space="preserve"> </w:t>
      </w:r>
      <w:r w:rsidR="00BE15B7">
        <w:rPr>
          <w:b/>
        </w:rPr>
        <w:t>João Luís Rheingantz</w:t>
      </w:r>
    </w:p>
    <w:p w:rsidR="0032075C" w:rsidRDefault="0032075C" w:rsidP="0029083B">
      <w:pPr>
        <w:ind w:firstLine="0"/>
        <w:jc w:val="right"/>
        <w:rPr>
          <w:b/>
        </w:rPr>
      </w:pPr>
      <w:r>
        <w:rPr>
          <w:b/>
        </w:rPr>
        <w:t>FAGUNDES, Michel Quevedo</w:t>
      </w:r>
    </w:p>
    <w:p w:rsidR="00C47B84" w:rsidRDefault="0032075C" w:rsidP="0029083B">
      <w:pPr>
        <w:ind w:firstLine="0"/>
        <w:jc w:val="right"/>
        <w:rPr>
          <w:b/>
        </w:rPr>
      </w:pPr>
      <w:r>
        <w:rPr>
          <w:b/>
        </w:rPr>
        <w:t>VON GROLL, Andrea</w:t>
      </w:r>
      <w:r w:rsidR="000033F3">
        <w:rPr>
          <w:b/>
        </w:rPr>
        <w:t xml:space="preserve">   </w:t>
      </w:r>
      <w:r w:rsidR="0029083B">
        <w:rPr>
          <w:b/>
        </w:rPr>
        <w:t xml:space="preserve"> </w:t>
      </w:r>
    </w:p>
    <w:p w:rsidR="00C47B84" w:rsidRDefault="002D2505" w:rsidP="0029083B">
      <w:pPr>
        <w:ind w:firstLine="0"/>
        <w:jc w:val="right"/>
        <w:rPr>
          <w:b/>
        </w:rPr>
      </w:pPr>
      <w:r>
        <w:rPr>
          <w:b/>
        </w:rPr>
        <w:t>SILVA</w:t>
      </w:r>
      <w:r w:rsidR="0032075C">
        <w:rPr>
          <w:b/>
        </w:rPr>
        <w:t xml:space="preserve">, </w:t>
      </w:r>
      <w:r w:rsidR="00BE15B7">
        <w:rPr>
          <w:b/>
        </w:rPr>
        <w:t>Pedro Eduardo Almeida</w:t>
      </w:r>
      <w:r w:rsidR="000033F3">
        <w:rPr>
          <w:b/>
        </w:rPr>
        <w:t xml:space="preserve"> </w:t>
      </w:r>
      <w:r w:rsidR="00BE15B7">
        <w:rPr>
          <w:b/>
        </w:rPr>
        <w:t xml:space="preserve"> </w:t>
      </w:r>
    </w:p>
    <w:p w:rsidR="00C47B84" w:rsidRDefault="00BE15B7" w:rsidP="00A771C1">
      <w:pPr>
        <w:ind w:firstLine="0"/>
        <w:jc w:val="right"/>
        <w:rPr>
          <w:b/>
        </w:rPr>
      </w:pPr>
      <w:r>
        <w:rPr>
          <w:b/>
        </w:rPr>
        <w:t>jlrscaini@yahoo.com.br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BE15B7">
        <w:rPr>
          <w:b/>
        </w:rPr>
        <w:t>Mostra de Produção Universitária - FURG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BE15B7">
        <w:rPr>
          <w:b/>
        </w:rPr>
        <w:t>Ciências Biológicas – Microbiologia Médica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197690">
        <w:rPr>
          <w:b/>
        </w:rPr>
        <w:t>: Bomba de efluxo, Micobactéria, Resistência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00007A" w:rsidRPr="00C044A6" w:rsidRDefault="00DA1F43" w:rsidP="00AA62EF">
      <w:r w:rsidRPr="00DA1F43">
        <w:t>Em</w:t>
      </w:r>
      <w:r>
        <w:t xml:space="preserve"> 2011, 6,2 milhões de casos de tuberculose (TB)</w:t>
      </w:r>
      <w:r w:rsidRPr="00DA1F43">
        <w:t xml:space="preserve"> foram notificados e relatados para a Organização Mundial da Saúde por centros nacionais de controle de TB. Foram estimados aproximadamente 310.000 casos de TB resistente á múltiplas drogas</w:t>
      </w:r>
      <w:r w:rsidR="00B0047B">
        <w:t xml:space="preserve"> (MDR)</w:t>
      </w:r>
      <w:r w:rsidRPr="00DA1F43">
        <w:t>. A emergência de cepas</w:t>
      </w:r>
      <w:r w:rsidR="00B0047B">
        <w:t xml:space="preserve"> de</w:t>
      </w:r>
      <w:r w:rsidRPr="00DA1F43">
        <w:t xml:space="preserve"> </w:t>
      </w:r>
      <w:r w:rsidR="00B0047B" w:rsidRPr="00DA1F43">
        <w:rPr>
          <w:i/>
        </w:rPr>
        <w:t>Mycobacterium tuberculosis</w:t>
      </w:r>
      <w:r w:rsidR="00B0047B" w:rsidRPr="00DA1F43">
        <w:t xml:space="preserve"> </w:t>
      </w:r>
      <w:r w:rsidRPr="00DA1F43">
        <w:t xml:space="preserve">MDR é um obstáculo ao controle da TB (WHO, 2012). </w:t>
      </w:r>
      <w:r>
        <w:t>A resistência a múltiplos fármacos é um fenótipo que pode ser causado pelo</w:t>
      </w:r>
      <w:r w:rsidR="00AA62EF">
        <w:t xml:space="preserve"> efluxo,</w:t>
      </w:r>
      <w:r w:rsidR="0015085F" w:rsidRPr="0015085F">
        <w:t xml:space="preserve"> a extrusão de compostos por proteínas transportadoras</w:t>
      </w:r>
      <w:r w:rsidR="00B0047B">
        <w:t xml:space="preserve">, </w:t>
      </w:r>
      <w:r w:rsidR="00B0047B" w:rsidRPr="0015085F">
        <w:t>chamadas de bombas de efluxo</w:t>
      </w:r>
      <w:r w:rsidR="00B0047B">
        <w:t>,</w:t>
      </w:r>
      <w:r w:rsidR="0015085F" w:rsidRPr="0015085F">
        <w:t xml:space="preserve"> localizadas nas membranas plasmáticas de todos os tipos de células (</w:t>
      </w:r>
      <w:r w:rsidR="001C5DCE">
        <w:t>WALMSLEY</w:t>
      </w:r>
      <w:r w:rsidR="0015085F" w:rsidRPr="0015085F">
        <w:t xml:space="preserve"> et al., 2003).</w:t>
      </w:r>
      <w:r w:rsidR="00CA3F9F">
        <w:t xml:space="preserve"> A</w:t>
      </w:r>
      <w:r w:rsidR="0000007A">
        <w:t xml:space="preserve"> bomba de efluxo Tap de </w:t>
      </w:r>
      <w:r w:rsidR="0000007A">
        <w:rPr>
          <w:i/>
        </w:rPr>
        <w:t>M</w:t>
      </w:r>
      <w:r>
        <w:rPr>
          <w:i/>
        </w:rPr>
        <w:t>.</w:t>
      </w:r>
      <w:r w:rsidR="0000007A">
        <w:rPr>
          <w:i/>
        </w:rPr>
        <w:t xml:space="preserve"> fortuitum</w:t>
      </w:r>
      <w:r w:rsidR="0000007A">
        <w:t xml:space="preserve"> confere resistência de baixo nível a tetraciclina e a aminoglicosídeos </w:t>
      </w:r>
      <w:r w:rsidR="00713D77">
        <w:t xml:space="preserve">e apresenta similaridade </w:t>
      </w:r>
      <w:r w:rsidR="005F4528">
        <w:t>de aminoácidos de 83%</w:t>
      </w:r>
      <w:r w:rsidR="00713D77">
        <w:t xml:space="preserve"> com a bomba de efluxo de Rv1258c de </w:t>
      </w:r>
      <w:r w:rsidR="00BA0314" w:rsidRPr="00BA0314">
        <w:rPr>
          <w:i/>
        </w:rPr>
        <w:t>M. tuberculosis</w:t>
      </w:r>
      <w:r w:rsidR="00713D77">
        <w:t xml:space="preserve"> que tem sido relacionado com resistência a drogas em isolados clínicos</w:t>
      </w:r>
      <w:r w:rsidR="00393C91">
        <w:t xml:space="preserve"> </w:t>
      </w:r>
      <w:r w:rsidR="00393C91" w:rsidRPr="0000007A">
        <w:t>(</w:t>
      </w:r>
      <w:r w:rsidR="00393C91">
        <w:t>AÍNSA</w:t>
      </w:r>
      <w:r w:rsidR="00393C91" w:rsidRPr="0000007A">
        <w:t xml:space="preserve"> et al., 1998; </w:t>
      </w:r>
      <w:r w:rsidR="00393C91">
        <w:t>RAMÓN-GARCIA</w:t>
      </w:r>
      <w:r w:rsidR="00393C91" w:rsidRPr="0000007A">
        <w:t xml:space="preserve"> et al., 2012)</w:t>
      </w:r>
      <w:r w:rsidR="0000007A">
        <w:t xml:space="preserve">. </w:t>
      </w:r>
      <w:r w:rsidR="00C044A6">
        <w:t xml:space="preserve">Neste trabalho </w:t>
      </w:r>
      <w:r w:rsidR="00EC4FC0">
        <w:t>foi</w:t>
      </w:r>
      <w:r w:rsidR="00EC4FC0">
        <w:t xml:space="preserve"> </w:t>
      </w:r>
      <w:r w:rsidR="004B6ADF">
        <w:t xml:space="preserve">avaliada a </w:t>
      </w:r>
      <w:r w:rsidR="002067D1">
        <w:t xml:space="preserve">relação do </w:t>
      </w:r>
      <w:r w:rsidR="00C044A6">
        <w:t xml:space="preserve">gene </w:t>
      </w:r>
      <w:r w:rsidR="00C044A6">
        <w:rPr>
          <w:i/>
        </w:rPr>
        <w:t>tap</w:t>
      </w:r>
      <w:r w:rsidR="00C044A6">
        <w:t xml:space="preserve"> de </w:t>
      </w:r>
      <w:r w:rsidR="00C044A6">
        <w:rPr>
          <w:i/>
        </w:rPr>
        <w:t>M. fortuitum</w:t>
      </w:r>
      <w:r w:rsidR="00C044A6">
        <w:t xml:space="preserve"> </w:t>
      </w:r>
      <w:r w:rsidR="002067D1">
        <w:t xml:space="preserve">clonado num plasmídeo multicopia e transformado </w:t>
      </w:r>
      <w:r w:rsidR="00C044A6">
        <w:t xml:space="preserve">em uma cepa de </w:t>
      </w:r>
      <w:r w:rsidR="00C044A6">
        <w:rPr>
          <w:i/>
        </w:rPr>
        <w:t>M. smegmatis</w:t>
      </w:r>
      <w:r w:rsidR="00C044A6">
        <w:t xml:space="preserve"> </w:t>
      </w:r>
      <w:r w:rsidR="004B6ADF">
        <w:t>com o perfil</w:t>
      </w:r>
      <w:r w:rsidR="008A33B8">
        <w:t xml:space="preserve"> de resistência à tetraciclina e </w:t>
      </w:r>
      <w:r w:rsidR="00C044A6">
        <w:t>aminoglicosídeos.</w:t>
      </w:r>
    </w:p>
    <w:p w:rsidR="0015085F" w:rsidRDefault="0015085F" w:rsidP="0029083B"/>
    <w:p w:rsidR="009D0723" w:rsidRPr="004D3431" w:rsidRDefault="009D0723" w:rsidP="0029083B"/>
    <w:p w:rsidR="009D0723" w:rsidRDefault="0082219D" w:rsidP="0029083B">
      <w:pPr>
        <w:pStyle w:val="Ttulodaseoprimria"/>
      </w:pPr>
      <w:r w:rsidRPr="00FA5B50">
        <w:t>2 MATERIAIS E MÉTODOS</w:t>
      </w:r>
    </w:p>
    <w:p w:rsidR="003220E0" w:rsidRPr="00FA5B50" w:rsidRDefault="003220E0" w:rsidP="0029083B">
      <w:pPr>
        <w:pStyle w:val="Ttulodaseoprimria"/>
      </w:pPr>
    </w:p>
    <w:p w:rsidR="003230AA" w:rsidRDefault="003230AA" w:rsidP="003230AA">
      <w:r>
        <w:t xml:space="preserve">Um fragmento contendo o gene </w:t>
      </w:r>
      <w:r w:rsidRPr="003230AA">
        <w:rPr>
          <w:i/>
        </w:rPr>
        <w:t>tap</w:t>
      </w:r>
      <w:r>
        <w:t xml:space="preserve"> de </w:t>
      </w:r>
      <w:r w:rsidRPr="003230AA">
        <w:rPr>
          <w:i/>
        </w:rPr>
        <w:t>M. fortuitum</w:t>
      </w:r>
      <w:r>
        <w:t xml:space="preserve"> (2.3 kb) foi amplificado através de uma reação em cadeia da polimerase (PCR) com os primers </w:t>
      </w:r>
      <w:r w:rsidRPr="003230AA">
        <w:rPr>
          <w:i/>
        </w:rPr>
        <w:t>tap 4</w:t>
      </w:r>
      <w:r>
        <w:t xml:space="preserve"> e </w:t>
      </w:r>
      <w:r w:rsidRPr="003230AA">
        <w:rPr>
          <w:i/>
        </w:rPr>
        <w:t>tap 6</w:t>
      </w:r>
      <w:r w:rsidR="002D2505">
        <w:t xml:space="preserve">. </w:t>
      </w:r>
      <w:r w:rsidR="00272DC1">
        <w:t>Posteriormente, este fragmento foi digerido com PstI e clonado no vetor pSUM36</w:t>
      </w:r>
      <w:r w:rsidR="008A33B8">
        <w:t>, um vetor que apresenta resistência a canamicina como indicador</w:t>
      </w:r>
      <w:r w:rsidR="00272DC1">
        <w:t xml:space="preserve"> </w:t>
      </w:r>
      <w:r w:rsidR="00272DC1" w:rsidRPr="00272DC1">
        <w:t>(Aínsa et al., 1996)</w:t>
      </w:r>
      <w:r w:rsidR="00272DC1">
        <w:t xml:space="preserve">. Essa construção foi transformada por eletroporação em </w:t>
      </w:r>
      <w:r w:rsidR="00272DC1">
        <w:rPr>
          <w:i/>
        </w:rPr>
        <w:t>M. smegmatis</w:t>
      </w:r>
      <w:r w:rsidR="00272DC1">
        <w:t xml:space="preserve"> mc²155, resultando na cepa PAZ 9.</w:t>
      </w:r>
      <w:r w:rsidR="008A33B8">
        <w:t xml:space="preserve"> O vetor pSUM36 isolado também foi transformado por eletroporação em </w:t>
      </w:r>
      <w:r w:rsidR="008A33B8">
        <w:rPr>
          <w:i/>
        </w:rPr>
        <w:t>M. smegmatis</w:t>
      </w:r>
      <w:r w:rsidR="008A33B8">
        <w:t xml:space="preserve"> mc²155, resultando na cepa PAZ 100, </w:t>
      </w:r>
      <w:r w:rsidR="004B6ADF">
        <w:t>utilizada</w:t>
      </w:r>
      <w:r w:rsidR="008A33B8">
        <w:t xml:space="preserve"> como controle por conter somente o plasmídeo pSUM 36 sem o gene </w:t>
      </w:r>
      <w:r w:rsidR="008A33B8">
        <w:rPr>
          <w:i/>
        </w:rPr>
        <w:t>tap</w:t>
      </w:r>
      <w:r w:rsidR="008A33B8">
        <w:t>.</w:t>
      </w:r>
    </w:p>
    <w:p w:rsidR="008A33B8" w:rsidRPr="008A33B8" w:rsidRDefault="006405E3" w:rsidP="003230AA">
      <w:r>
        <w:t xml:space="preserve">Para determinar a </w:t>
      </w:r>
      <w:r w:rsidR="004B6ADF">
        <w:t>influência</w:t>
      </w:r>
      <w:r>
        <w:t xml:space="preserve"> do gene </w:t>
      </w:r>
      <w:r>
        <w:rPr>
          <w:i/>
        </w:rPr>
        <w:t>tap</w:t>
      </w:r>
      <w:r>
        <w:t xml:space="preserve"> na resistência foi determinada a concentração mínima inibitória</w:t>
      </w:r>
      <w:r w:rsidR="0059502F">
        <w:t xml:space="preserve"> (CMI)</w:t>
      </w:r>
      <w:r>
        <w:t xml:space="preserve"> das cepas frente </w:t>
      </w:r>
      <w:r w:rsidR="004B6ADF">
        <w:t>a tetraciclina e aminoglicosideos</w:t>
      </w:r>
      <w:r>
        <w:t xml:space="preserve"> </w:t>
      </w:r>
      <w:r w:rsidR="00222777">
        <w:t xml:space="preserve">(amicacina, higromicina B e estreptomicina) </w:t>
      </w:r>
      <w:r w:rsidR="00063773">
        <w:t xml:space="preserve">realizando o </w:t>
      </w:r>
      <w:r w:rsidR="0059502F">
        <w:t>Resazurin Multititer Assay (REMA)</w:t>
      </w:r>
      <w:r w:rsidR="008A33B8">
        <w:t xml:space="preserve"> (Martín e Palomino</w:t>
      </w:r>
      <w:r w:rsidR="008A430C">
        <w:t>, 2012</w:t>
      </w:r>
      <w:r w:rsidR="002D2505">
        <w:t xml:space="preserve">). </w:t>
      </w:r>
    </w:p>
    <w:p w:rsidR="003220E0" w:rsidRDefault="003220E0" w:rsidP="0029083B"/>
    <w:p w:rsidR="009D0723" w:rsidRPr="00AA62EF" w:rsidRDefault="0082219D" w:rsidP="00AA62EF">
      <w:pPr>
        <w:widowControl/>
        <w:suppressAutoHyphens w:val="0"/>
        <w:ind w:firstLine="0"/>
        <w:jc w:val="left"/>
        <w:rPr>
          <w:b/>
        </w:rPr>
      </w:pPr>
      <w:r w:rsidRPr="00AA62EF">
        <w:rPr>
          <w:b/>
        </w:rPr>
        <w:t xml:space="preserve">3 </w:t>
      </w:r>
      <w:r w:rsidR="0029083B" w:rsidRPr="00AA62EF">
        <w:rPr>
          <w:b/>
        </w:rPr>
        <w:t xml:space="preserve">RESULTADOS </w:t>
      </w:r>
      <w:r w:rsidR="009F1118" w:rsidRPr="00AA62EF">
        <w:rPr>
          <w:b/>
        </w:rPr>
        <w:t>e</w:t>
      </w:r>
      <w:r w:rsidR="00544FEA" w:rsidRPr="00AA62EF">
        <w:rPr>
          <w:b/>
        </w:rPr>
        <w:t xml:space="preserve"> DISCUSSÃO</w:t>
      </w:r>
    </w:p>
    <w:p w:rsidR="009D0723" w:rsidRDefault="009D0723" w:rsidP="0029083B">
      <w:pPr>
        <w:rPr>
          <w:rFonts w:cs="Arial"/>
        </w:rPr>
      </w:pPr>
    </w:p>
    <w:p w:rsidR="00544FEA" w:rsidRDefault="009D0723" w:rsidP="00875A6F">
      <w:pPr>
        <w:ind w:firstLine="0"/>
        <w:jc w:val="center"/>
        <w:rPr>
          <w:rFonts w:cs="Arial"/>
          <w:sz w:val="22"/>
          <w:szCs w:val="22"/>
        </w:rPr>
      </w:pPr>
      <w:r w:rsidRPr="0082219D">
        <w:rPr>
          <w:rFonts w:cs="Arial"/>
          <w:sz w:val="22"/>
          <w:szCs w:val="22"/>
        </w:rPr>
        <w:t xml:space="preserve">Tabela </w:t>
      </w:r>
      <w:r w:rsidR="00063773">
        <w:rPr>
          <w:rFonts w:cs="Arial"/>
          <w:sz w:val="22"/>
          <w:szCs w:val="22"/>
        </w:rPr>
        <w:t>1</w:t>
      </w:r>
      <w:r w:rsidRPr="0082219D">
        <w:rPr>
          <w:rFonts w:cs="Arial"/>
          <w:sz w:val="22"/>
          <w:szCs w:val="22"/>
        </w:rPr>
        <w:t xml:space="preserve"> – </w:t>
      </w:r>
      <w:r w:rsidR="0059502F">
        <w:rPr>
          <w:rFonts w:cs="Arial"/>
          <w:sz w:val="22"/>
          <w:szCs w:val="22"/>
        </w:rPr>
        <w:t>C</w:t>
      </w:r>
      <w:r w:rsidR="0097315C">
        <w:rPr>
          <w:rFonts w:cs="Arial"/>
          <w:sz w:val="22"/>
          <w:szCs w:val="22"/>
        </w:rPr>
        <w:t>oncentração mínima inibitória</w:t>
      </w:r>
      <w:r w:rsidR="00875A6F">
        <w:rPr>
          <w:rFonts w:cs="Arial"/>
          <w:sz w:val="22"/>
          <w:szCs w:val="22"/>
        </w:rPr>
        <w:t xml:space="preserve"> das cepas testadas</w:t>
      </w:r>
    </w:p>
    <w:tbl>
      <w:tblPr>
        <w:tblW w:w="7754" w:type="dxa"/>
        <w:jc w:val="center"/>
        <w:tblInd w:w="-3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85"/>
        <w:gridCol w:w="1762"/>
        <w:gridCol w:w="1843"/>
        <w:gridCol w:w="1664"/>
      </w:tblGrid>
      <w:tr w:rsidR="00544FEA" w:rsidRPr="00597976" w:rsidTr="0059502F">
        <w:trPr>
          <w:cantSplit/>
          <w:jc w:val="center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FEA" w:rsidRPr="00B17088" w:rsidRDefault="00544FEA" w:rsidP="00B0047B">
            <w:pPr>
              <w:jc w:val="center"/>
              <w:rPr>
                <w:rFonts w:cs="Arial"/>
              </w:rPr>
            </w:pPr>
            <w:r w:rsidRPr="00B17088">
              <w:rPr>
                <w:rFonts w:cs="Arial"/>
              </w:rPr>
              <w:t>Antibióticos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</w:rPr>
            </w:pPr>
            <w:r w:rsidRPr="00B17088">
              <w:rPr>
                <w:rFonts w:cs="Arial"/>
              </w:rPr>
              <w:t>mc²155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</w:rPr>
            </w:pPr>
            <w:r w:rsidRPr="00B17088">
              <w:rPr>
                <w:rFonts w:cs="Arial"/>
              </w:rPr>
              <w:t>PAZ100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</w:rPr>
            </w:pPr>
            <w:r w:rsidRPr="00B17088">
              <w:rPr>
                <w:rFonts w:cs="Arial"/>
              </w:rPr>
              <w:t>PAZ9</w:t>
            </w:r>
          </w:p>
        </w:tc>
      </w:tr>
      <w:tr w:rsidR="00544FEA" w:rsidRPr="00597976" w:rsidTr="0059502F">
        <w:trPr>
          <w:cantSplit/>
          <w:jc w:val="center"/>
        </w:trPr>
        <w:tc>
          <w:tcPr>
            <w:tcW w:w="2485" w:type="dxa"/>
            <w:tcBorders>
              <w:top w:val="single" w:sz="4" w:space="0" w:color="auto"/>
            </w:tcBorders>
            <w:shd w:val="clear" w:color="auto" w:fill="auto"/>
          </w:tcPr>
          <w:p w:rsidR="00544FEA" w:rsidRPr="00B17088" w:rsidRDefault="00544FEA" w:rsidP="00B0047B">
            <w:pPr>
              <w:pStyle w:val="Tabla-Texto"/>
              <w:spacing w:before="0" w:after="0"/>
              <w:jc w:val="center"/>
              <w:rPr>
                <w:rFonts w:cs="Arial"/>
                <w:sz w:val="24"/>
                <w:lang w:val="pt-BR"/>
              </w:rPr>
            </w:pPr>
            <w:r w:rsidRPr="00B17088">
              <w:rPr>
                <w:rFonts w:cs="Arial"/>
                <w:sz w:val="24"/>
                <w:lang w:val="pt-BR"/>
              </w:rPr>
              <w:t>Tetraciclina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shd w:val="clear" w:color="auto" w:fill="auto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0,5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0,5</w:t>
            </w:r>
          </w:p>
        </w:tc>
      </w:tr>
      <w:tr w:rsidR="00544FEA" w:rsidRPr="00597976" w:rsidTr="0059502F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544FEA" w:rsidRPr="00B17088" w:rsidRDefault="00544FEA" w:rsidP="00B0047B">
            <w:pPr>
              <w:pStyle w:val="Tabla-Texto"/>
              <w:spacing w:before="0" w:after="0"/>
              <w:jc w:val="center"/>
              <w:rPr>
                <w:rFonts w:cs="Arial"/>
                <w:sz w:val="24"/>
                <w:lang w:val="pt-BR"/>
              </w:rPr>
            </w:pPr>
            <w:r w:rsidRPr="00B17088">
              <w:rPr>
                <w:rFonts w:cs="Arial"/>
                <w:sz w:val="24"/>
                <w:lang w:val="pt-BR"/>
              </w:rPr>
              <w:t>Estreptomicina</w:t>
            </w:r>
          </w:p>
        </w:tc>
        <w:tc>
          <w:tcPr>
            <w:tcW w:w="1762" w:type="dxa"/>
            <w:shd w:val="clear" w:color="auto" w:fill="auto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0,062</w:t>
            </w:r>
          </w:p>
        </w:tc>
        <w:tc>
          <w:tcPr>
            <w:tcW w:w="1843" w:type="dxa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0,25</w:t>
            </w:r>
          </w:p>
        </w:tc>
        <w:tc>
          <w:tcPr>
            <w:tcW w:w="1664" w:type="dxa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0,062</w:t>
            </w:r>
          </w:p>
        </w:tc>
      </w:tr>
      <w:tr w:rsidR="00544FEA" w:rsidRPr="00597976" w:rsidTr="0059502F">
        <w:trPr>
          <w:cantSplit/>
          <w:trHeight w:val="80"/>
          <w:jc w:val="center"/>
        </w:trPr>
        <w:tc>
          <w:tcPr>
            <w:tcW w:w="2485" w:type="dxa"/>
            <w:shd w:val="clear" w:color="auto" w:fill="auto"/>
          </w:tcPr>
          <w:p w:rsidR="00544FEA" w:rsidRPr="00B17088" w:rsidRDefault="00544FEA" w:rsidP="00B0047B">
            <w:pPr>
              <w:pStyle w:val="Tabla-Texto"/>
              <w:spacing w:before="0" w:after="0"/>
              <w:jc w:val="center"/>
              <w:rPr>
                <w:rFonts w:cs="Arial"/>
                <w:sz w:val="24"/>
                <w:lang w:val="pt-BR"/>
              </w:rPr>
            </w:pPr>
            <w:r w:rsidRPr="00B17088">
              <w:rPr>
                <w:rFonts w:cs="Arial"/>
                <w:sz w:val="24"/>
                <w:lang w:val="pt-BR"/>
              </w:rPr>
              <w:t>Amicacina</w:t>
            </w:r>
          </w:p>
        </w:tc>
        <w:tc>
          <w:tcPr>
            <w:tcW w:w="1762" w:type="dxa"/>
            <w:shd w:val="clear" w:color="auto" w:fill="auto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0,125</w:t>
            </w:r>
          </w:p>
        </w:tc>
        <w:tc>
          <w:tcPr>
            <w:tcW w:w="1843" w:type="dxa"/>
          </w:tcPr>
          <w:p w:rsidR="00544FEA" w:rsidRPr="00B17088" w:rsidRDefault="00544FEA" w:rsidP="0059502F">
            <w:pPr>
              <w:shd w:val="clear" w:color="auto" w:fill="FFFFFF"/>
              <w:ind w:firstLine="0"/>
              <w:jc w:val="center"/>
              <w:rPr>
                <w:rFonts w:eastAsia="Times New Roman"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4</w:t>
            </w:r>
          </w:p>
        </w:tc>
        <w:tc>
          <w:tcPr>
            <w:tcW w:w="1664" w:type="dxa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8</w:t>
            </w:r>
          </w:p>
        </w:tc>
      </w:tr>
      <w:tr w:rsidR="00544FEA" w:rsidRPr="00597976" w:rsidTr="00B17088">
        <w:trPr>
          <w:cantSplit/>
          <w:jc w:val="center"/>
        </w:trPr>
        <w:tc>
          <w:tcPr>
            <w:tcW w:w="2485" w:type="dxa"/>
            <w:shd w:val="clear" w:color="auto" w:fill="auto"/>
          </w:tcPr>
          <w:p w:rsidR="00544FEA" w:rsidRPr="00B17088" w:rsidRDefault="00544FEA" w:rsidP="00B0047B">
            <w:pPr>
              <w:pStyle w:val="Tabla-Texto"/>
              <w:spacing w:before="0" w:after="0"/>
              <w:jc w:val="center"/>
              <w:rPr>
                <w:rFonts w:cs="Arial"/>
                <w:sz w:val="24"/>
                <w:lang w:val="pt-BR"/>
              </w:rPr>
            </w:pPr>
            <w:r w:rsidRPr="00B17088">
              <w:rPr>
                <w:rFonts w:cs="Arial"/>
                <w:sz w:val="24"/>
                <w:lang w:val="pt-BR"/>
              </w:rPr>
              <w:t>Higromicina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16</w:t>
            </w:r>
          </w:p>
        </w:tc>
        <w:tc>
          <w:tcPr>
            <w:tcW w:w="1843" w:type="dxa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16</w:t>
            </w:r>
          </w:p>
        </w:tc>
        <w:tc>
          <w:tcPr>
            <w:tcW w:w="1664" w:type="dxa"/>
          </w:tcPr>
          <w:p w:rsidR="00544FEA" w:rsidRPr="00B17088" w:rsidRDefault="00544FEA" w:rsidP="0059502F">
            <w:pPr>
              <w:ind w:firstLine="0"/>
              <w:jc w:val="center"/>
              <w:rPr>
                <w:rFonts w:cs="Arial"/>
                <w:color w:val="000000" w:themeColor="text1"/>
              </w:rPr>
            </w:pPr>
            <w:r w:rsidRPr="00B17088">
              <w:rPr>
                <w:rFonts w:eastAsia="Times New Roman" w:cs="Arial"/>
                <w:color w:val="000000" w:themeColor="text1"/>
              </w:rPr>
              <w:t>16</w:t>
            </w:r>
          </w:p>
        </w:tc>
      </w:tr>
    </w:tbl>
    <w:p w:rsidR="009D0723" w:rsidRPr="00544FEA" w:rsidRDefault="0059502F" w:rsidP="00544FEA">
      <w:pPr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As concentrações estão apresentadas em mg/ml.</w:t>
      </w:r>
    </w:p>
    <w:p w:rsidR="00875A6F" w:rsidRDefault="00875A6F" w:rsidP="0029083B">
      <w:pPr>
        <w:pStyle w:val="Ttulodaseoprimria"/>
      </w:pPr>
      <w:r>
        <w:tab/>
      </w:r>
    </w:p>
    <w:p w:rsidR="0097315C" w:rsidRPr="00B17088" w:rsidRDefault="0097315C" w:rsidP="0029083B">
      <w:pPr>
        <w:pStyle w:val="Ttulodaseoprimria"/>
        <w:rPr>
          <w:b w:val="0"/>
          <w:sz w:val="24"/>
        </w:rPr>
      </w:pPr>
      <w:r>
        <w:tab/>
      </w:r>
      <w:r w:rsidR="00B072F0">
        <w:rPr>
          <w:b w:val="0"/>
          <w:sz w:val="24"/>
        </w:rPr>
        <w:t>Considerando</w:t>
      </w:r>
      <w:r w:rsidR="00DA1F43">
        <w:rPr>
          <w:b w:val="0"/>
          <w:sz w:val="24"/>
        </w:rPr>
        <w:t xml:space="preserve"> a</w:t>
      </w:r>
      <w:r w:rsidR="00B072F0">
        <w:rPr>
          <w:b w:val="0"/>
          <w:sz w:val="24"/>
        </w:rPr>
        <w:t xml:space="preserve"> característica da bomba Tap de </w:t>
      </w:r>
      <w:r w:rsidR="00DA1F43">
        <w:rPr>
          <w:b w:val="0"/>
          <w:sz w:val="24"/>
        </w:rPr>
        <w:t xml:space="preserve">apresentar </w:t>
      </w:r>
      <w:r w:rsidR="00B072F0">
        <w:rPr>
          <w:b w:val="0"/>
          <w:sz w:val="24"/>
        </w:rPr>
        <w:t xml:space="preserve">resistência à tetraciclina e aminoglicosídeos, era esperada </w:t>
      </w:r>
      <w:r w:rsidR="00B17088">
        <w:rPr>
          <w:b w:val="0"/>
          <w:sz w:val="24"/>
        </w:rPr>
        <w:t xml:space="preserve">uma CMI maior </w:t>
      </w:r>
      <w:r w:rsidR="00B072F0">
        <w:rPr>
          <w:b w:val="0"/>
          <w:sz w:val="24"/>
        </w:rPr>
        <w:t xml:space="preserve">da </w:t>
      </w:r>
      <w:r w:rsidR="00D064BB">
        <w:rPr>
          <w:b w:val="0"/>
          <w:sz w:val="24"/>
        </w:rPr>
        <w:t xml:space="preserve">PAZ9 </w:t>
      </w:r>
      <w:r w:rsidR="00B17088">
        <w:rPr>
          <w:b w:val="0"/>
          <w:sz w:val="24"/>
        </w:rPr>
        <w:t xml:space="preserve">que </w:t>
      </w:r>
      <w:r w:rsidR="00B072F0">
        <w:rPr>
          <w:b w:val="0"/>
          <w:sz w:val="24"/>
        </w:rPr>
        <w:t>da</w:t>
      </w:r>
      <w:r w:rsidR="00B17088">
        <w:rPr>
          <w:b w:val="0"/>
          <w:sz w:val="24"/>
        </w:rPr>
        <w:t>s outras duas cepas frente a estes antibióticos</w:t>
      </w:r>
      <w:r w:rsidR="00B072F0">
        <w:rPr>
          <w:b w:val="0"/>
          <w:sz w:val="24"/>
        </w:rPr>
        <w:t>, o que só ocorreu com a amicacina.</w:t>
      </w:r>
      <w:r w:rsidR="00B17088">
        <w:rPr>
          <w:b w:val="0"/>
          <w:sz w:val="24"/>
        </w:rPr>
        <w:t xml:space="preserve"> </w:t>
      </w:r>
      <w:r w:rsidR="001C5DCE">
        <w:rPr>
          <w:b w:val="0"/>
          <w:sz w:val="24"/>
        </w:rPr>
        <w:t>Levando em conta que as bombas de efluxo são proteínas transportadoras com muitas afinidades, e que sua função fisiológica ainda não é totalmente conhecida, diversos fatores envolvendo as condições de cultivo e os fatores do meio podem ter influenciado no resultado.</w:t>
      </w:r>
    </w:p>
    <w:p w:rsidR="00875A6F" w:rsidRDefault="00875A6F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  <w:bookmarkStart w:id="0" w:name="_GoBack"/>
      <w:bookmarkEnd w:id="0"/>
    </w:p>
    <w:p w:rsidR="009D0723" w:rsidRDefault="001C5DCE" w:rsidP="001C5DCE">
      <w:pPr>
        <w:ind w:firstLine="0"/>
      </w:pPr>
      <w:r>
        <w:tab/>
        <w:t xml:space="preserve">Estudos futuros devem ser feitos analisando a influência de alterações do meio sobre a atividade </w:t>
      </w:r>
      <w:r w:rsidR="00B32A9C">
        <w:t>da bomba</w:t>
      </w:r>
      <w:r>
        <w:t xml:space="preserve"> Tap de forma que se obtenha uma maior compreensão sobre a fisiologia desta bomba de efluxo.</w:t>
      </w:r>
    </w:p>
    <w:p w:rsidR="009D0723" w:rsidRDefault="009D0723" w:rsidP="0029083B"/>
    <w:p w:rsidR="009D0723" w:rsidRPr="00B32A9C" w:rsidRDefault="00875A6F" w:rsidP="00711AA3">
      <w:pPr>
        <w:pStyle w:val="Ttulodaseoprimria"/>
        <w:jc w:val="left"/>
        <w:rPr>
          <w:lang w:val="en-US"/>
        </w:rPr>
      </w:pPr>
      <w:r w:rsidRPr="00B32A9C">
        <w:rPr>
          <w:lang w:val="en-US"/>
        </w:rPr>
        <w:t xml:space="preserve">5 </w:t>
      </w:r>
      <w:r w:rsidR="0082219D" w:rsidRPr="00B32A9C">
        <w:rPr>
          <w:lang w:val="en-US"/>
        </w:rPr>
        <w:t>REFERÊNCIAS</w:t>
      </w:r>
    </w:p>
    <w:p w:rsidR="009D0723" w:rsidRPr="00B32A9C" w:rsidRDefault="009D0723" w:rsidP="0029083B">
      <w:pPr>
        <w:rPr>
          <w:rFonts w:cs="Arial"/>
          <w:lang w:val="en-US"/>
        </w:rPr>
      </w:pPr>
    </w:p>
    <w:p w:rsidR="008A430C" w:rsidRPr="00B32A9C" w:rsidRDefault="008A430C" w:rsidP="00F312C7">
      <w:pPr>
        <w:pStyle w:val="Referncias"/>
        <w:jc w:val="both"/>
        <w:rPr>
          <w:lang w:val="en-US"/>
        </w:rPr>
      </w:pPr>
      <w:r w:rsidRPr="00B32A9C">
        <w:rPr>
          <w:lang w:val="en-US"/>
        </w:rPr>
        <w:t xml:space="preserve">Aínsa, J.A.; Martín, C.; Cabeza, M.; De la Cruz, F.; Mendiola, M.V. Construction of a family of </w:t>
      </w:r>
      <w:r w:rsidRPr="00B32A9C">
        <w:rPr>
          <w:i/>
          <w:lang w:val="en-US"/>
        </w:rPr>
        <w:t>Mycobacterium</w:t>
      </w:r>
      <w:r w:rsidRPr="00B32A9C">
        <w:rPr>
          <w:lang w:val="en-US"/>
        </w:rPr>
        <w:t>/</w:t>
      </w:r>
      <w:r w:rsidRPr="00B32A9C">
        <w:rPr>
          <w:i/>
          <w:lang w:val="en-US"/>
        </w:rPr>
        <w:t>Escherichia coli</w:t>
      </w:r>
      <w:r w:rsidRPr="00B32A9C">
        <w:rPr>
          <w:lang w:val="en-US"/>
        </w:rPr>
        <w:t xml:space="preserve"> shuttle vectors derived from pAL5000 and pACYC184: their use for cloning an antibiotic-resistance gene from Mycobacterium fortuitum. </w:t>
      </w:r>
      <w:r w:rsidRPr="00B32A9C">
        <w:rPr>
          <w:b/>
          <w:lang w:val="en-US"/>
        </w:rPr>
        <w:t>Gene</w:t>
      </w:r>
      <w:r w:rsidRPr="00B32A9C">
        <w:rPr>
          <w:lang w:val="en-US"/>
        </w:rPr>
        <w:t>, v.176, p.23 - 26. 1996</w:t>
      </w:r>
    </w:p>
    <w:p w:rsidR="00F312C7" w:rsidRPr="00B32A9C" w:rsidRDefault="00F312C7" w:rsidP="00F312C7">
      <w:pPr>
        <w:pStyle w:val="Referncias"/>
        <w:jc w:val="both"/>
        <w:rPr>
          <w:lang w:val="en-US"/>
        </w:rPr>
      </w:pPr>
      <w:r w:rsidRPr="00B32A9C">
        <w:rPr>
          <w:lang w:val="en-US"/>
        </w:rPr>
        <w:t xml:space="preserve">Aínsa, J.A.; Blokpoel, M.C.J.; Otal, I.; Young, D.B.; De Smet, K.A.L.; Martín, C. Molecular Cloning and Characterization of Tap, a Putative Multidrug Efflux Pump Present in </w:t>
      </w:r>
      <w:r w:rsidRPr="00B32A9C">
        <w:rPr>
          <w:i/>
          <w:lang w:val="en-US"/>
        </w:rPr>
        <w:t>Mycobacterium fortuitum</w:t>
      </w:r>
      <w:r w:rsidRPr="00B32A9C">
        <w:rPr>
          <w:lang w:val="en-US"/>
        </w:rPr>
        <w:t xml:space="preserve"> and </w:t>
      </w:r>
      <w:r w:rsidRPr="00B32A9C">
        <w:rPr>
          <w:i/>
          <w:lang w:val="en-US"/>
        </w:rPr>
        <w:t>Mycobacterium tuberculosis</w:t>
      </w:r>
      <w:r w:rsidRPr="00B32A9C">
        <w:rPr>
          <w:lang w:val="en-US"/>
        </w:rPr>
        <w:t xml:space="preserve">. </w:t>
      </w:r>
      <w:r w:rsidRPr="00B32A9C">
        <w:rPr>
          <w:b/>
          <w:lang w:val="en-US"/>
        </w:rPr>
        <w:t>Journal of Bacteriology</w:t>
      </w:r>
      <w:r w:rsidRPr="00B32A9C">
        <w:rPr>
          <w:lang w:val="en-US"/>
        </w:rPr>
        <w:t>, v.180, p.5836–5843. 1998</w:t>
      </w:r>
    </w:p>
    <w:p w:rsidR="008A430C" w:rsidRPr="00B32A9C" w:rsidRDefault="008A430C" w:rsidP="00F312C7">
      <w:pPr>
        <w:pStyle w:val="Referncias"/>
        <w:jc w:val="both"/>
        <w:rPr>
          <w:lang w:val="en-US"/>
        </w:rPr>
      </w:pPr>
      <w:r w:rsidRPr="00B32A9C">
        <w:rPr>
          <w:lang w:val="en-US"/>
        </w:rPr>
        <w:t>Martin, A.; Palomino, J.C. Drug susceptibility testing for Mycobacterium tuberculosis - Procedure Manual, v.6, 17p. 2012</w:t>
      </w:r>
    </w:p>
    <w:p w:rsidR="00320C9F" w:rsidRPr="00B32A9C" w:rsidRDefault="00320C9F" w:rsidP="00F312C7">
      <w:pPr>
        <w:pStyle w:val="Referncias"/>
        <w:jc w:val="both"/>
        <w:rPr>
          <w:lang w:val="en-US"/>
        </w:rPr>
      </w:pPr>
      <w:r w:rsidRPr="00B32A9C">
        <w:rPr>
          <w:lang w:val="en-US"/>
        </w:rPr>
        <w:t>Ramón-García</w:t>
      </w:r>
      <w:r w:rsidR="00BE5D16" w:rsidRPr="00B32A9C">
        <w:rPr>
          <w:lang w:val="en-US"/>
        </w:rPr>
        <w:t>,</w:t>
      </w:r>
      <w:r w:rsidRPr="00B32A9C">
        <w:rPr>
          <w:lang w:val="en-US"/>
        </w:rPr>
        <w:t xml:space="preserve"> S</w:t>
      </w:r>
      <w:r w:rsidR="00BE5D16" w:rsidRPr="00B32A9C">
        <w:rPr>
          <w:lang w:val="en-US"/>
        </w:rPr>
        <w:t>.;</w:t>
      </w:r>
      <w:r w:rsidRPr="00B32A9C">
        <w:rPr>
          <w:lang w:val="en-US"/>
        </w:rPr>
        <w:t xml:space="preserve"> Mick</w:t>
      </w:r>
      <w:r w:rsidR="00BE5D16" w:rsidRPr="00B32A9C">
        <w:rPr>
          <w:lang w:val="en-US"/>
        </w:rPr>
        <w:t>,</w:t>
      </w:r>
      <w:r w:rsidRPr="00B32A9C">
        <w:rPr>
          <w:lang w:val="en-US"/>
        </w:rPr>
        <w:t xml:space="preserve"> V</w:t>
      </w:r>
      <w:r w:rsidR="00BE5D16" w:rsidRPr="00B32A9C">
        <w:rPr>
          <w:lang w:val="en-US"/>
        </w:rPr>
        <w:t>.;</w:t>
      </w:r>
      <w:r w:rsidRPr="00B32A9C">
        <w:rPr>
          <w:lang w:val="en-US"/>
        </w:rPr>
        <w:t xml:space="preserve"> Dainese</w:t>
      </w:r>
      <w:r w:rsidR="00BE5D16" w:rsidRPr="00B32A9C">
        <w:rPr>
          <w:lang w:val="en-US"/>
        </w:rPr>
        <w:t>,</w:t>
      </w:r>
      <w:r w:rsidRPr="00B32A9C">
        <w:rPr>
          <w:lang w:val="en-US"/>
        </w:rPr>
        <w:t xml:space="preserve"> E</w:t>
      </w:r>
      <w:r w:rsidR="00BE5D16" w:rsidRPr="00B32A9C">
        <w:rPr>
          <w:lang w:val="en-US"/>
        </w:rPr>
        <w:t>.;</w:t>
      </w:r>
      <w:r w:rsidRPr="00B32A9C">
        <w:rPr>
          <w:lang w:val="en-US"/>
        </w:rPr>
        <w:t xml:space="preserve"> Martín</w:t>
      </w:r>
      <w:r w:rsidR="00BE5D16" w:rsidRPr="00B32A9C">
        <w:rPr>
          <w:lang w:val="en-US"/>
        </w:rPr>
        <w:t>,</w:t>
      </w:r>
      <w:r w:rsidRPr="00B32A9C">
        <w:rPr>
          <w:lang w:val="en-US"/>
        </w:rPr>
        <w:t xml:space="preserve"> C</w:t>
      </w:r>
      <w:r w:rsidR="00BE5D16" w:rsidRPr="00B32A9C">
        <w:rPr>
          <w:lang w:val="en-US"/>
        </w:rPr>
        <w:t>.;</w:t>
      </w:r>
      <w:r w:rsidRPr="00B32A9C">
        <w:rPr>
          <w:lang w:val="en-US"/>
        </w:rPr>
        <w:t xml:space="preserve"> Thompson</w:t>
      </w:r>
      <w:r w:rsidR="00BE5D16" w:rsidRPr="00B32A9C">
        <w:rPr>
          <w:lang w:val="en-US"/>
        </w:rPr>
        <w:t>,</w:t>
      </w:r>
      <w:r w:rsidRPr="00B32A9C">
        <w:rPr>
          <w:lang w:val="en-US"/>
        </w:rPr>
        <w:t xml:space="preserve"> C</w:t>
      </w:r>
      <w:r w:rsidR="00BE5D16" w:rsidRPr="00B32A9C">
        <w:rPr>
          <w:lang w:val="en-US"/>
        </w:rPr>
        <w:t>.</w:t>
      </w:r>
      <w:r w:rsidRPr="00B32A9C">
        <w:rPr>
          <w:lang w:val="en-US"/>
        </w:rPr>
        <w:t>J</w:t>
      </w:r>
      <w:r w:rsidR="00BE5D16" w:rsidRPr="00B32A9C">
        <w:rPr>
          <w:lang w:val="en-US"/>
        </w:rPr>
        <w:t xml:space="preserve">.; </w:t>
      </w:r>
      <w:r w:rsidRPr="00B32A9C">
        <w:rPr>
          <w:lang w:val="en-US"/>
        </w:rPr>
        <w:t>De Rossi</w:t>
      </w:r>
      <w:r w:rsidR="00BE5D16" w:rsidRPr="00B32A9C">
        <w:rPr>
          <w:lang w:val="en-US"/>
        </w:rPr>
        <w:t>,</w:t>
      </w:r>
      <w:r w:rsidRPr="00B32A9C">
        <w:rPr>
          <w:lang w:val="en-US"/>
        </w:rPr>
        <w:t xml:space="preserve"> E</w:t>
      </w:r>
      <w:r w:rsidR="00BE5D16" w:rsidRPr="00B32A9C">
        <w:rPr>
          <w:lang w:val="en-US"/>
        </w:rPr>
        <w:t>.;</w:t>
      </w:r>
      <w:r w:rsidRPr="00B32A9C">
        <w:rPr>
          <w:lang w:val="en-US"/>
        </w:rPr>
        <w:t xml:space="preserve"> Manganelli</w:t>
      </w:r>
      <w:r w:rsidR="00BE5D16" w:rsidRPr="00B32A9C">
        <w:rPr>
          <w:lang w:val="en-US"/>
        </w:rPr>
        <w:t>,</w:t>
      </w:r>
      <w:r w:rsidRPr="00B32A9C">
        <w:rPr>
          <w:lang w:val="en-US"/>
        </w:rPr>
        <w:t xml:space="preserve"> R</w:t>
      </w:r>
      <w:r w:rsidR="00BE5D16" w:rsidRPr="00B32A9C">
        <w:rPr>
          <w:lang w:val="en-US"/>
        </w:rPr>
        <w:t xml:space="preserve">.; </w:t>
      </w:r>
      <w:r w:rsidRPr="00B32A9C">
        <w:rPr>
          <w:lang w:val="en-US"/>
        </w:rPr>
        <w:t xml:space="preserve"> Aínsa J</w:t>
      </w:r>
      <w:r w:rsidR="00BE5D16" w:rsidRPr="00B32A9C">
        <w:rPr>
          <w:lang w:val="en-US"/>
        </w:rPr>
        <w:t>.</w:t>
      </w:r>
      <w:r w:rsidRPr="00B32A9C">
        <w:rPr>
          <w:lang w:val="en-US"/>
        </w:rPr>
        <w:t>A</w:t>
      </w:r>
      <w:r w:rsidR="00BE5D16" w:rsidRPr="00B32A9C">
        <w:rPr>
          <w:lang w:val="en-US"/>
        </w:rPr>
        <w:t>.</w:t>
      </w:r>
      <w:r w:rsidRPr="00B32A9C">
        <w:rPr>
          <w:lang w:val="en-US"/>
        </w:rPr>
        <w:t xml:space="preserve"> Functional and Genetic Characterization of the Tap Efflux Pump </w:t>
      </w:r>
      <w:r w:rsidRPr="00B32A9C">
        <w:rPr>
          <w:i/>
          <w:lang w:val="en-US"/>
        </w:rPr>
        <w:t>in Mycobacterium bovis</w:t>
      </w:r>
      <w:r w:rsidRPr="00B32A9C">
        <w:rPr>
          <w:lang w:val="en-US"/>
        </w:rPr>
        <w:t xml:space="preserve"> BCG.</w:t>
      </w:r>
      <w:r w:rsidR="00BE5D16" w:rsidRPr="00B32A9C">
        <w:rPr>
          <w:lang w:val="en-US"/>
        </w:rPr>
        <w:t xml:space="preserve"> </w:t>
      </w:r>
      <w:r w:rsidRPr="00B32A9C">
        <w:rPr>
          <w:b/>
          <w:lang w:val="en-US"/>
        </w:rPr>
        <w:t>Antimicrobial Agents and Chemotherapy</w:t>
      </w:r>
      <w:r w:rsidR="00BE5D16" w:rsidRPr="00B32A9C">
        <w:rPr>
          <w:lang w:val="en-US"/>
        </w:rPr>
        <w:t>,</w:t>
      </w:r>
      <w:r w:rsidRPr="00B32A9C">
        <w:rPr>
          <w:lang w:val="en-US"/>
        </w:rPr>
        <w:t xml:space="preserve"> </w:t>
      </w:r>
      <w:r w:rsidR="00BE5D16" w:rsidRPr="00B32A9C">
        <w:rPr>
          <w:lang w:val="en-US"/>
        </w:rPr>
        <w:t>v.56,</w:t>
      </w:r>
      <w:r w:rsidRPr="00B32A9C">
        <w:rPr>
          <w:lang w:val="en-US"/>
        </w:rPr>
        <w:t xml:space="preserve"> </w:t>
      </w:r>
      <w:r w:rsidR="00BE5D16" w:rsidRPr="00B32A9C">
        <w:rPr>
          <w:lang w:val="en-US"/>
        </w:rPr>
        <w:t>p.</w:t>
      </w:r>
      <w:r w:rsidRPr="00B32A9C">
        <w:rPr>
          <w:lang w:val="en-US"/>
        </w:rPr>
        <w:t>2074–2083.</w:t>
      </w:r>
      <w:r w:rsidR="00BE5D16" w:rsidRPr="00B32A9C">
        <w:rPr>
          <w:lang w:val="en-US"/>
        </w:rPr>
        <w:t xml:space="preserve"> 2012</w:t>
      </w:r>
    </w:p>
    <w:p w:rsidR="00F312C7" w:rsidRPr="001961B5" w:rsidRDefault="00F312C7" w:rsidP="00F312C7">
      <w:pPr>
        <w:pStyle w:val="Referncias"/>
        <w:jc w:val="both"/>
        <w:rPr>
          <w:lang w:val="en-US"/>
        </w:rPr>
      </w:pPr>
      <w:r w:rsidRPr="00B32A9C">
        <w:rPr>
          <w:lang w:val="en-US"/>
        </w:rPr>
        <w:t xml:space="preserve">Walmsley, M.I.B.; McKeegan, K.S.; Walmsley, A.R. Structure and function of efflux pumps that confer resistance to drugs. </w:t>
      </w:r>
      <w:r w:rsidRPr="001961B5">
        <w:rPr>
          <w:b/>
          <w:lang w:val="en-US"/>
        </w:rPr>
        <w:t>Biochemical Journal</w:t>
      </w:r>
      <w:r w:rsidRPr="001961B5">
        <w:rPr>
          <w:lang w:val="en-US"/>
        </w:rPr>
        <w:t>, v.376, p.313-338. 2003</w:t>
      </w:r>
    </w:p>
    <w:p w:rsidR="00320C9F" w:rsidRDefault="00DA1F43" w:rsidP="00DA1F43">
      <w:pPr>
        <w:pStyle w:val="Referncias"/>
        <w:jc w:val="both"/>
      </w:pPr>
      <w:r w:rsidRPr="001961B5">
        <w:rPr>
          <w:lang w:val="en-US"/>
        </w:rPr>
        <w:t xml:space="preserve">WHO - World Health Organization. Global Tuberculosis Report, 89p. </w:t>
      </w:r>
      <w:r w:rsidRPr="00DA1F43">
        <w:t>2012</w:t>
      </w:r>
    </w:p>
    <w:sectPr w:rsidR="00320C9F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98" w:rsidRDefault="00C73098" w:rsidP="00B11590">
      <w:r>
        <w:separator/>
      </w:r>
    </w:p>
  </w:endnote>
  <w:endnote w:type="continuationSeparator" w:id="0">
    <w:p w:rsidR="00C73098" w:rsidRDefault="00C7309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98" w:rsidRDefault="00C73098" w:rsidP="00B11590">
      <w:r>
        <w:separator/>
      </w:r>
    </w:p>
  </w:footnote>
  <w:footnote w:type="continuationSeparator" w:id="0">
    <w:p w:rsidR="00C73098" w:rsidRDefault="00C7309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ADF" w:rsidRDefault="004B6ADF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6ADF" w:rsidRDefault="004B6ADF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4B6ADF" w:rsidRDefault="004B6ADF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4B6ADF" w:rsidRDefault="004B6ADF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4B6ADF" w:rsidRPr="00F34C67" w:rsidRDefault="004B6ADF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4B6ADF" w:rsidRDefault="004B6ADF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007A"/>
    <w:rsid w:val="000033F3"/>
    <w:rsid w:val="000462AD"/>
    <w:rsid w:val="00063773"/>
    <w:rsid w:val="000A3B86"/>
    <w:rsid w:val="000E30FD"/>
    <w:rsid w:val="000F630E"/>
    <w:rsid w:val="000F7EB6"/>
    <w:rsid w:val="00124454"/>
    <w:rsid w:val="00125006"/>
    <w:rsid w:val="0015085F"/>
    <w:rsid w:val="001743B7"/>
    <w:rsid w:val="00185FE1"/>
    <w:rsid w:val="001961B5"/>
    <w:rsid w:val="00197690"/>
    <w:rsid w:val="001C5DCE"/>
    <w:rsid w:val="001C7B8C"/>
    <w:rsid w:val="001E496B"/>
    <w:rsid w:val="00203D0A"/>
    <w:rsid w:val="002067D1"/>
    <w:rsid w:val="00222777"/>
    <w:rsid w:val="00230075"/>
    <w:rsid w:val="0024774D"/>
    <w:rsid w:val="00251B79"/>
    <w:rsid w:val="00272DC1"/>
    <w:rsid w:val="0029083B"/>
    <w:rsid w:val="002A7A57"/>
    <w:rsid w:val="002B1BC9"/>
    <w:rsid w:val="002C23D0"/>
    <w:rsid w:val="002D2505"/>
    <w:rsid w:val="0031606E"/>
    <w:rsid w:val="0032075C"/>
    <w:rsid w:val="00320C9F"/>
    <w:rsid w:val="003220E0"/>
    <w:rsid w:val="003230AA"/>
    <w:rsid w:val="00393C91"/>
    <w:rsid w:val="003C0392"/>
    <w:rsid w:val="00411BD0"/>
    <w:rsid w:val="00425685"/>
    <w:rsid w:val="00493589"/>
    <w:rsid w:val="004B6ADF"/>
    <w:rsid w:val="004C0CD3"/>
    <w:rsid w:val="004F7A69"/>
    <w:rsid w:val="00520FB9"/>
    <w:rsid w:val="00544FEA"/>
    <w:rsid w:val="0059502F"/>
    <w:rsid w:val="005F4528"/>
    <w:rsid w:val="006405E3"/>
    <w:rsid w:val="006A4184"/>
    <w:rsid w:val="006B389C"/>
    <w:rsid w:val="006F1A5E"/>
    <w:rsid w:val="006F1FEC"/>
    <w:rsid w:val="0070021A"/>
    <w:rsid w:val="00711AA3"/>
    <w:rsid w:val="00713D77"/>
    <w:rsid w:val="00731A2E"/>
    <w:rsid w:val="00731B6A"/>
    <w:rsid w:val="007C2D07"/>
    <w:rsid w:val="0082219D"/>
    <w:rsid w:val="0086138A"/>
    <w:rsid w:val="00875A6F"/>
    <w:rsid w:val="00891A3A"/>
    <w:rsid w:val="008A33B8"/>
    <w:rsid w:val="008A430C"/>
    <w:rsid w:val="008C0055"/>
    <w:rsid w:val="00941544"/>
    <w:rsid w:val="0097315C"/>
    <w:rsid w:val="009B0959"/>
    <w:rsid w:val="009D0723"/>
    <w:rsid w:val="009D6BBF"/>
    <w:rsid w:val="009F1118"/>
    <w:rsid w:val="00A140D9"/>
    <w:rsid w:val="00A756D1"/>
    <w:rsid w:val="00A771C1"/>
    <w:rsid w:val="00A802B0"/>
    <w:rsid w:val="00AA62EF"/>
    <w:rsid w:val="00B0047B"/>
    <w:rsid w:val="00B072F0"/>
    <w:rsid w:val="00B11590"/>
    <w:rsid w:val="00B17088"/>
    <w:rsid w:val="00B32A9C"/>
    <w:rsid w:val="00B67C5F"/>
    <w:rsid w:val="00BA0314"/>
    <w:rsid w:val="00BB3209"/>
    <w:rsid w:val="00BE15B7"/>
    <w:rsid w:val="00BE4C14"/>
    <w:rsid w:val="00BE5D16"/>
    <w:rsid w:val="00C044A6"/>
    <w:rsid w:val="00C341B4"/>
    <w:rsid w:val="00C47B84"/>
    <w:rsid w:val="00C73098"/>
    <w:rsid w:val="00C950B7"/>
    <w:rsid w:val="00CA3F9F"/>
    <w:rsid w:val="00CC3E16"/>
    <w:rsid w:val="00CF1B19"/>
    <w:rsid w:val="00D064BB"/>
    <w:rsid w:val="00D25A87"/>
    <w:rsid w:val="00D419C1"/>
    <w:rsid w:val="00D43862"/>
    <w:rsid w:val="00D740C6"/>
    <w:rsid w:val="00DA1F43"/>
    <w:rsid w:val="00DB77A0"/>
    <w:rsid w:val="00DD1B99"/>
    <w:rsid w:val="00DE0F9B"/>
    <w:rsid w:val="00DE6963"/>
    <w:rsid w:val="00EA51E0"/>
    <w:rsid w:val="00EB13F7"/>
    <w:rsid w:val="00EC4FC0"/>
    <w:rsid w:val="00F312C7"/>
    <w:rsid w:val="00F34C67"/>
    <w:rsid w:val="00F47F5E"/>
    <w:rsid w:val="00F56270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272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D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DC1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DC1"/>
    <w:rPr>
      <w:rFonts w:ascii="Arial" w:eastAsia="Arial Unicode MS" w:hAnsi="Arial"/>
      <w:b/>
      <w:bCs/>
      <w:kern w:val="1"/>
    </w:rPr>
  </w:style>
  <w:style w:type="table" w:styleId="Tabelacomgrade">
    <w:name w:val="Table Grid"/>
    <w:basedOn w:val="Tabelanormal"/>
    <w:uiPriority w:val="59"/>
    <w:rsid w:val="00544F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0723"/>
    <w:pPr>
      <w:spacing w:after="120"/>
    </w:pPr>
  </w:style>
  <w:style w:type="character" w:customStyle="1" w:styleId="BodyTextChar">
    <w:name w:val="Body Text Char"/>
    <w:link w:val="BodyText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link w:val="Title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Strong">
    <w:name w:val="Strong"/>
    <w:uiPriority w:val="22"/>
    <w:qFormat/>
    <w:rsid w:val="00D740C6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eastAsia="Arial Unicode MS" w:hAnsi="Arial"/>
      <w:kern w:val="1"/>
    </w:rPr>
  </w:style>
  <w:style w:type="character" w:styleId="EndnoteReference">
    <w:name w:val="endnote reference"/>
    <w:basedOn w:val="DefaultParagraphFont"/>
    <w:uiPriority w:val="99"/>
    <w:semiHidden/>
    <w:unhideWhenUsed/>
    <w:rsid w:val="00003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eastAsia="Arial Unicode MS" w:hAnsi="Arial"/>
      <w:kern w:val="1"/>
    </w:rPr>
  </w:style>
  <w:style w:type="character" w:styleId="FootnoteReference">
    <w:name w:val="footnote reference"/>
    <w:basedOn w:val="DefaultParagraphFont"/>
    <w:uiPriority w:val="99"/>
    <w:semiHidden/>
    <w:unhideWhenUsed/>
    <w:rsid w:val="000033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72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DC1"/>
    <w:rPr>
      <w:rFonts w:ascii="Arial" w:eastAsia="Arial Unicode MS" w:hAnsi="Arial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DC1"/>
    <w:rPr>
      <w:rFonts w:ascii="Arial" w:eastAsia="Arial Unicode MS" w:hAnsi="Arial"/>
      <w:b/>
      <w:bCs/>
      <w:kern w:val="1"/>
    </w:rPr>
  </w:style>
  <w:style w:type="table" w:styleId="TableGrid">
    <w:name w:val="Table Grid"/>
    <w:basedOn w:val="TableNormal"/>
    <w:uiPriority w:val="59"/>
    <w:rsid w:val="00544F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F5EF-60C1-4A47-8F49-2935B2B7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Cliente</cp:lastModifiedBy>
  <cp:revision>4</cp:revision>
  <cp:lastPrinted>2013-05-31T18:34:00Z</cp:lastPrinted>
  <dcterms:created xsi:type="dcterms:W3CDTF">2013-06-23T23:43:00Z</dcterms:created>
  <dcterms:modified xsi:type="dcterms:W3CDTF">2013-08-16T02:18:00Z</dcterms:modified>
</cp:coreProperties>
</file>