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3C" w:rsidRDefault="00993E3C" w:rsidP="0029083B">
      <w:pPr>
        <w:ind w:firstLine="0"/>
        <w:jc w:val="center"/>
        <w:rPr>
          <w:b/>
          <w:bCs/>
          <w:caps/>
          <w:kern w:val="24"/>
        </w:rPr>
      </w:pPr>
    </w:p>
    <w:p w:rsidR="00993E3C" w:rsidRPr="004F7A69" w:rsidRDefault="00993E3C" w:rsidP="0029083B">
      <w:pPr>
        <w:ind w:firstLine="0"/>
        <w:jc w:val="center"/>
        <w:rPr>
          <w:b/>
          <w:bCs/>
        </w:rPr>
      </w:pPr>
      <w:r w:rsidRPr="002F0A65">
        <w:rPr>
          <w:b/>
          <w:bCs/>
          <w:caps/>
          <w:kern w:val="24"/>
        </w:rPr>
        <w:t>Azeite de oliva para o congelamento de sêmen suíno</w:t>
      </w:r>
    </w:p>
    <w:p w:rsidR="00993E3C" w:rsidRDefault="00993E3C" w:rsidP="0029083B">
      <w:pPr>
        <w:ind w:firstLine="0"/>
        <w:jc w:val="right"/>
        <w:rPr>
          <w:b/>
          <w:bCs/>
        </w:rPr>
      </w:pPr>
    </w:p>
    <w:p w:rsidR="00993E3C" w:rsidRDefault="00993E3C" w:rsidP="00EE05BB">
      <w:pPr>
        <w:ind w:firstLine="0"/>
        <w:jc w:val="right"/>
        <w:rPr>
          <w:b/>
          <w:bCs/>
        </w:rPr>
      </w:pPr>
      <w:r>
        <w:rPr>
          <w:b/>
          <w:bCs/>
        </w:rPr>
        <w:t xml:space="preserve">SILVA, Estela Fernandes e; CARDOSO, Tainã Figueiredo; TAVARES, Geórgia da Cruz; SILVA, Janaina Fadrique; FLACH, Mateus Junior; VARELA JR., Antonio Sergio; CORCINI, Carine Dahl   </w:t>
      </w:r>
    </w:p>
    <w:p w:rsidR="00993E3C" w:rsidRDefault="00993E3C" w:rsidP="00A771C1">
      <w:pPr>
        <w:ind w:firstLine="0"/>
        <w:jc w:val="right"/>
        <w:rPr>
          <w:b/>
          <w:bCs/>
        </w:rPr>
      </w:pPr>
      <w:r>
        <w:rPr>
          <w:b/>
          <w:bCs/>
        </w:rPr>
        <w:t>estela_cefet@yahoo.com.br</w:t>
      </w:r>
    </w:p>
    <w:p w:rsidR="00993E3C" w:rsidRDefault="00993E3C" w:rsidP="00A771C1">
      <w:pPr>
        <w:ind w:firstLine="0"/>
        <w:jc w:val="right"/>
        <w:rPr>
          <w:b/>
          <w:bCs/>
        </w:rPr>
      </w:pPr>
    </w:p>
    <w:p w:rsidR="00993E3C" w:rsidRDefault="00993E3C" w:rsidP="00711AA3">
      <w:pPr>
        <w:ind w:firstLine="0"/>
        <w:jc w:val="right"/>
        <w:rPr>
          <w:color w:val="333333"/>
          <w:sz w:val="19"/>
          <w:szCs w:val="19"/>
          <w:shd w:val="clear" w:color="auto" w:fill="FFFFFF"/>
        </w:rPr>
      </w:pPr>
      <w:r>
        <w:rPr>
          <w:b/>
          <w:bCs/>
        </w:rPr>
        <w:t xml:space="preserve">Evento: XV </w:t>
      </w:r>
      <w:r w:rsidRPr="0068260C">
        <w:rPr>
          <w:b/>
          <w:bCs/>
          <w:color w:val="000000"/>
          <w:shd w:val="clear" w:color="auto" w:fill="FFFFFF"/>
        </w:rPr>
        <w:t>Encontro de Pós-Graduação</w:t>
      </w:r>
    </w:p>
    <w:p w:rsidR="00993E3C" w:rsidRDefault="00993E3C" w:rsidP="00711AA3">
      <w:pPr>
        <w:ind w:firstLine="0"/>
        <w:jc w:val="right"/>
        <w:rPr>
          <w:b/>
          <w:bCs/>
        </w:rPr>
      </w:pPr>
      <w:r w:rsidRPr="00FB3E05">
        <w:rPr>
          <w:b/>
          <w:bCs/>
        </w:rPr>
        <w:t xml:space="preserve">Área do conhecimento: </w:t>
      </w:r>
      <w:r>
        <w:rPr>
          <w:b/>
          <w:bCs/>
        </w:rPr>
        <w:t>Reprodução Animal</w:t>
      </w:r>
    </w:p>
    <w:p w:rsidR="00993E3C" w:rsidRPr="00FB3E05" w:rsidRDefault="00993E3C" w:rsidP="00711AA3">
      <w:pPr>
        <w:ind w:firstLine="0"/>
        <w:jc w:val="right"/>
        <w:rPr>
          <w:b/>
          <w:bCs/>
        </w:rPr>
      </w:pPr>
    </w:p>
    <w:p w:rsidR="00993E3C" w:rsidRPr="00FB3E05" w:rsidRDefault="00993E3C" w:rsidP="008E2E79">
      <w:pPr>
        <w:ind w:firstLine="0"/>
      </w:pPr>
      <w:r w:rsidRPr="009F1118">
        <w:rPr>
          <w:b/>
          <w:bCs/>
        </w:rPr>
        <w:t>Palavras-chave</w:t>
      </w:r>
      <w:r>
        <w:rPr>
          <w:b/>
          <w:bCs/>
        </w:rPr>
        <w:t xml:space="preserve"> </w:t>
      </w:r>
      <w:r>
        <w:t>Membrana plasmática, motilidade, antioxidante</w:t>
      </w:r>
    </w:p>
    <w:p w:rsidR="00993E3C" w:rsidRDefault="00993E3C" w:rsidP="0029083B">
      <w:pPr>
        <w:pStyle w:val="Ttulodaseoprimria"/>
      </w:pPr>
    </w:p>
    <w:p w:rsidR="00993E3C" w:rsidRPr="00B85630" w:rsidRDefault="00993E3C" w:rsidP="00586A03">
      <w:pPr>
        <w:pStyle w:val="Ttulodaseoprimria"/>
      </w:pPr>
      <w:r w:rsidRPr="007345DE">
        <w:t>1 INTRODUÇÃO</w:t>
      </w:r>
    </w:p>
    <w:p w:rsidR="00993E3C" w:rsidRDefault="00993E3C" w:rsidP="004B0105">
      <w:pPr>
        <w:pStyle w:val="Default"/>
        <w:ind w:firstLine="708"/>
        <w:jc w:val="both"/>
      </w:pPr>
      <w:r w:rsidRPr="006A1F4C">
        <w:t xml:space="preserve">O sêmen suíno congelado não é utilizado em nível de produção </w:t>
      </w:r>
      <w:r>
        <w:t xml:space="preserve">e em programas de melhoramento genético </w:t>
      </w:r>
      <w:r w:rsidRPr="006A1F4C">
        <w:t>de forma eficiente</w:t>
      </w:r>
      <w:r>
        <w:t xml:space="preserve"> devido</w:t>
      </w:r>
      <w:r w:rsidRPr="006A1F4C">
        <w:t xml:space="preserve"> </w:t>
      </w:r>
      <w:r>
        <w:t xml:space="preserve">à </w:t>
      </w:r>
      <w:r w:rsidRPr="006A1F4C">
        <w:t>alta susceptibilidade dos espermatozoides aos danos</w:t>
      </w:r>
      <w:r>
        <w:t xml:space="preserve"> ocasionados</w:t>
      </w:r>
      <w:r w:rsidRPr="006A1F4C">
        <w:t xml:space="preserve"> durante o congelamento. Os processos de congelamento/descongelamento geram um aumento na geração de espécies reativas de oxigênio (ERO</w:t>
      </w:r>
      <w:r>
        <w:t>s</w:t>
      </w:r>
      <w:r w:rsidRPr="006A1F4C">
        <w:t>) e consequentemente um estresse oxidativo (</w:t>
      </w:r>
      <w:r w:rsidRPr="006A1F4C">
        <w:rPr>
          <w:caps/>
        </w:rPr>
        <w:t>Großfeld</w:t>
      </w:r>
      <w:r w:rsidRPr="006A1F4C">
        <w:t xml:space="preserve"> et al., 2008). O azeite</w:t>
      </w:r>
      <w:r>
        <w:t xml:space="preserve"> de oliva, composto oriundo do fruto colhido da oliveria (</w:t>
      </w:r>
      <w:r w:rsidRPr="0074745E">
        <w:rPr>
          <w:i/>
          <w:iCs/>
        </w:rPr>
        <w:t>Olea europaea</w:t>
      </w:r>
      <w:r>
        <w:t xml:space="preserve">) </w:t>
      </w:r>
      <w:r w:rsidRPr="006A1F4C">
        <w:t>contém uma grande quantidade de antioxidantes naturais</w:t>
      </w:r>
      <w:r>
        <w:t xml:space="preserve">, tais como </w:t>
      </w:r>
      <w:r w:rsidRPr="006A1F4C">
        <w:t>tocoferóis, esteróis, carotenóides e compostos fenólicos, sendo os o-di-hidroxi-fenólicos potentes antioxidantes (MINIOTI e GEORGIOU, 2008)</w:t>
      </w:r>
      <w:r>
        <w:t>.</w:t>
      </w:r>
      <w:r w:rsidRPr="006A1F4C">
        <w:t xml:space="preserve"> que asseguram a estabilidade oxidativa durante o armazenamento. Desse modo, a adição de azeite de oliva ao diluente de congelamento, poderia neutralizar a produção de EROs por conter uma mistura de antioxidantes. Assim, o objetivo desse estudo foi avaliar a influência do azeite de oliva como aditivo na criopreservação de sêmen suíno.</w:t>
      </w:r>
    </w:p>
    <w:p w:rsidR="00993E3C" w:rsidRDefault="00993E3C">
      <w:pPr>
        <w:pStyle w:val="Default"/>
        <w:ind w:firstLine="708"/>
      </w:pPr>
    </w:p>
    <w:p w:rsidR="00993E3C" w:rsidRPr="006A1F4C" w:rsidRDefault="00993E3C" w:rsidP="0029083B">
      <w:pPr>
        <w:pStyle w:val="Ttulodaseoprimria"/>
      </w:pPr>
      <w:r w:rsidRPr="006A1F4C">
        <w:t>2 MATERIAIS E MÉTODOS (ou PROCEDIMENTO METODOLÓGICO)</w:t>
      </w:r>
    </w:p>
    <w:p w:rsidR="00993E3C" w:rsidRDefault="00993E3C" w:rsidP="008B2AA9">
      <w:pPr>
        <w:ind w:firstLine="708"/>
        <w:rPr>
          <w:b/>
          <w:bCs/>
        </w:rPr>
      </w:pPr>
      <w:r>
        <w:t>A partir da coleta de</w:t>
      </w:r>
      <w:r w:rsidRPr="006A1F4C">
        <w:t xml:space="preserve"> </w:t>
      </w:r>
      <w:r>
        <w:t xml:space="preserve">um total </w:t>
      </w:r>
      <w:r w:rsidRPr="006A1F4C">
        <w:t>21 ejaculados</w:t>
      </w:r>
      <w:r>
        <w:t>, a</w:t>
      </w:r>
      <w:r w:rsidRPr="006A1F4C">
        <w:t xml:space="preserve"> motilidade, porcentagem de células móveis, foi avaliada </w:t>
      </w:r>
      <w:r>
        <w:t xml:space="preserve">em lâmina sob </w:t>
      </w:r>
      <w:r w:rsidRPr="006A1F4C">
        <w:t>lamínula aquecida a 37</w:t>
      </w:r>
      <w:r>
        <w:t xml:space="preserve"> </w:t>
      </w:r>
      <w:r w:rsidRPr="006A1F4C">
        <w:t>ºC em microscopia óptica em aumento de 200x (CBRA, 1998). A integridade de membrana plasmática foi avaliada pelas sondas fluorescentes diace</w:t>
      </w:r>
      <w:r>
        <w:t>tato de carboxifluoresceína  e i</w:t>
      </w:r>
      <w:r w:rsidRPr="006A1F4C">
        <w:t xml:space="preserve">odeto de </w:t>
      </w:r>
      <w:r>
        <w:t>p</w:t>
      </w:r>
      <w:r w:rsidRPr="006A1F4C">
        <w:t>ropídio</w:t>
      </w:r>
      <w:r>
        <w:t xml:space="preserve">, em </w:t>
      </w:r>
      <w:r w:rsidRPr="006A1F4C">
        <w:t>microscópio de epifluorescência, sendo verdes as células íntegras e vermelhas ou verde/vermelh</w:t>
      </w:r>
      <w:r>
        <w:t>a</w:t>
      </w:r>
      <w:r w:rsidRPr="006A1F4C">
        <w:t xml:space="preserve">s as células lesadas </w:t>
      </w:r>
      <w:r>
        <w:t xml:space="preserve">de acordo com </w:t>
      </w:r>
      <w:r w:rsidRPr="006A1F4C">
        <w:t>Harrison &amp; Vickers (1990). Os tratamentos investigados</w:t>
      </w:r>
      <w:r>
        <w:t xml:space="preserve"> para criopreservação </w:t>
      </w:r>
      <w:r w:rsidRPr="006A1F4C">
        <w:t xml:space="preserve">foram: Con (apenas </w:t>
      </w:r>
      <w:r>
        <w:t>d</w:t>
      </w:r>
      <w:r w:rsidRPr="006A1F4C">
        <w:t>iluente de resfriamento - DR contendo 80% de solução de lactose a 11% e 20% de gema de ovo); T1 (0,25 % de azeite de oliva - AO em DR); T2 (0,5% de AO em DR); T3 (0,75% de AO em DR) e T4 (1,0% de AO em DR).</w:t>
      </w:r>
      <w:r>
        <w:t xml:space="preserve"> Os mesmos foram resfriados a 5 °C por 90 minutos, em seguida adicionou-se a esses </w:t>
      </w:r>
      <w:r w:rsidRPr="006A1F4C">
        <w:t xml:space="preserve">5% do crioprotetor interno N,N Dimetilacetamida e </w:t>
      </w:r>
      <w:r>
        <w:t>0</w:t>
      </w:r>
      <w:r w:rsidRPr="006A1F4C">
        <w:t xml:space="preserve">,5% de </w:t>
      </w:r>
      <w:r w:rsidRPr="006A1F4C">
        <w:rPr>
          <w:i/>
          <w:iCs/>
        </w:rPr>
        <w:t>Orvus Ex Paste</w:t>
      </w:r>
      <w:r w:rsidRPr="00534BCF">
        <w:t>.</w:t>
      </w:r>
      <w:r w:rsidRPr="00BF6840">
        <w:t xml:space="preserve"> </w:t>
      </w:r>
      <w:r w:rsidRPr="006A1F4C">
        <w:t>O envase ocorreu em palhetas de 0,25 mL na concentração de 5x10</w:t>
      </w:r>
      <w:r w:rsidRPr="006A1F4C">
        <w:rPr>
          <w:kern w:val="24"/>
          <w:vertAlign w:val="superscript"/>
        </w:rPr>
        <w:t>7</w:t>
      </w:r>
      <w:r w:rsidRPr="006A1F4C">
        <w:t xml:space="preserve"> espermatozoides/mL e o congelamento </w:t>
      </w:r>
      <w:r>
        <w:t xml:space="preserve">em </w:t>
      </w:r>
      <w:r w:rsidRPr="006A1F4C">
        <w:t>nitrogênio líquido à -196</w:t>
      </w:r>
      <w:r>
        <w:t xml:space="preserve"> </w:t>
      </w:r>
      <w:r w:rsidRPr="006A1F4C">
        <w:t>°C. O descongelamento ocorreu em banho-maria a 37 °C por 30 segundos. O azeite utilizado era da variedade Koroneiki</w:t>
      </w:r>
      <w:r>
        <w:t>, de oliveiras cultivadas em Bagé/RS. A</w:t>
      </w:r>
      <w:r w:rsidRPr="006A1F4C">
        <w:t>s médias foram comparadas pelo teste de Kruskal-Wallis e todas as análises realizadas no software STATISTIX 9.0 (2008).</w:t>
      </w:r>
    </w:p>
    <w:p w:rsidR="00993E3C" w:rsidRPr="006A1F4C" w:rsidRDefault="00993E3C" w:rsidP="008B2AA9">
      <w:pPr>
        <w:ind w:firstLine="708"/>
        <w:rPr>
          <w:b/>
          <w:bCs/>
        </w:rPr>
      </w:pPr>
    </w:p>
    <w:p w:rsidR="00993E3C" w:rsidRPr="006A1F4C" w:rsidRDefault="00993E3C" w:rsidP="00586A03">
      <w:pPr>
        <w:pStyle w:val="Ttulodaseoprimria"/>
      </w:pPr>
      <w:r w:rsidRPr="006A1F4C">
        <w:t xml:space="preserve">3 RESULTADOS e DISCUSSÃO </w:t>
      </w:r>
    </w:p>
    <w:p w:rsidR="00993E3C" w:rsidRPr="006A1F4C" w:rsidRDefault="00993E3C" w:rsidP="008B2AA9">
      <w:pPr>
        <w:pStyle w:val="Default"/>
        <w:ind w:firstLine="708"/>
        <w:jc w:val="both"/>
      </w:pPr>
      <w:r w:rsidRPr="006A1F4C">
        <w:t>Não houve diferença estatística entre os tratamentos contendo azeite de oliva e o controle (</w:t>
      </w:r>
      <w:r w:rsidRPr="006A1F4C">
        <w:rPr>
          <w:i/>
          <w:iCs/>
        </w:rPr>
        <w:t>p</w:t>
      </w:r>
      <w:r w:rsidRPr="006A1F4C">
        <w:t>&gt;0,05)</w:t>
      </w:r>
      <w:r>
        <w:t xml:space="preserve">, para as analises avaliadas </w:t>
      </w:r>
      <w:r w:rsidRPr="006A1F4C">
        <w:t xml:space="preserve">(Tab. 1). Contudo, a integridade de membrana plasmática nos tratamentos T2 e T3 apresentou um valor numérico superior ao controle e aos demais tratamentos. Possivelmente, a mistura de antioxidantes presentes no azeite de oliva protegeu a membrana por neutralizar EROs e consequentemente diminuir a peroxidação lipídica. </w:t>
      </w:r>
    </w:p>
    <w:p w:rsidR="00993E3C" w:rsidRDefault="00993E3C" w:rsidP="008B2AA9">
      <w:pPr>
        <w:pStyle w:val="Default"/>
        <w:ind w:firstLine="708"/>
        <w:jc w:val="both"/>
      </w:pPr>
      <w:r w:rsidRPr="006A1F4C">
        <w:t xml:space="preserve">A motilidade espermática apresentou níveis inferiores a 20% em todos os tratamentos e em torno de 20% para o controle. Essa queda na motilidade era esperada, pois essa variável é sensivelmente afetada pela geração de EROs durante o processo de congelamento (ARMSTRONG et al., 1999). </w:t>
      </w:r>
    </w:p>
    <w:p w:rsidR="00993E3C" w:rsidRPr="006A1F4C" w:rsidRDefault="00993E3C" w:rsidP="008B2AA9">
      <w:pPr>
        <w:pStyle w:val="Default"/>
        <w:ind w:firstLine="708"/>
        <w:jc w:val="both"/>
      </w:pPr>
    </w:p>
    <w:p w:rsidR="00993E3C" w:rsidRPr="00481DC7" w:rsidRDefault="00993E3C" w:rsidP="00001FDA">
      <w:pPr>
        <w:rPr>
          <w:color w:val="000000"/>
          <w:sz w:val="22"/>
          <w:szCs w:val="22"/>
        </w:rPr>
      </w:pPr>
      <w:r w:rsidRPr="00481DC7">
        <w:rPr>
          <w:color w:val="000000"/>
          <w:sz w:val="22"/>
          <w:szCs w:val="22"/>
        </w:rPr>
        <w:t>Tabela 1- Sêmen descongelado: Média e Desvio Padrão para motilidade (MOT) e integridade de membrana plasmática (IMP)</w:t>
      </w:r>
    </w:p>
    <w:tbl>
      <w:tblPr>
        <w:tblW w:w="0" w:type="auto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0A0"/>
      </w:tblPr>
      <w:tblGrid>
        <w:gridCol w:w="3070"/>
        <w:gridCol w:w="3070"/>
        <w:gridCol w:w="3071"/>
      </w:tblGrid>
      <w:tr w:rsidR="00993E3C" w:rsidRPr="006A1F4C">
        <w:tc>
          <w:tcPr>
            <w:tcW w:w="3070" w:type="dxa"/>
            <w:tcBorders>
              <w:top w:val="single" w:sz="4" w:space="0" w:color="000000"/>
            </w:tcBorders>
          </w:tcPr>
          <w:p w:rsidR="00993E3C" w:rsidRPr="00670A1A" w:rsidRDefault="00993E3C" w:rsidP="00001FD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0A1A">
              <w:rPr>
                <w:b/>
                <w:bCs/>
                <w:i/>
                <w:iCs/>
                <w:color w:val="000000"/>
                <w:sz w:val="20"/>
                <w:szCs w:val="20"/>
              </w:rPr>
              <w:t>Tratamento</w:t>
            </w:r>
          </w:p>
        </w:tc>
        <w:tc>
          <w:tcPr>
            <w:tcW w:w="3070" w:type="dxa"/>
            <w:tcBorders>
              <w:top w:val="single" w:sz="4" w:space="0" w:color="000000"/>
            </w:tcBorders>
          </w:tcPr>
          <w:p w:rsidR="00993E3C" w:rsidRPr="00670A1A" w:rsidRDefault="00993E3C" w:rsidP="00001FD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0A1A">
              <w:rPr>
                <w:b/>
                <w:bCs/>
                <w:i/>
                <w:iCs/>
                <w:color w:val="000000"/>
                <w:sz w:val="20"/>
                <w:szCs w:val="20"/>
              </w:rPr>
              <w:t>MOT</w:t>
            </w:r>
          </w:p>
        </w:tc>
        <w:tc>
          <w:tcPr>
            <w:tcW w:w="3071" w:type="dxa"/>
            <w:tcBorders>
              <w:top w:val="single" w:sz="4" w:space="0" w:color="000000"/>
            </w:tcBorders>
          </w:tcPr>
          <w:p w:rsidR="00993E3C" w:rsidRPr="00670A1A" w:rsidRDefault="00993E3C" w:rsidP="00001FDA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70A1A">
              <w:rPr>
                <w:b/>
                <w:bCs/>
                <w:i/>
                <w:iCs/>
                <w:color w:val="000000"/>
                <w:sz w:val="20"/>
                <w:szCs w:val="20"/>
              </w:rPr>
              <w:t>IMP</w:t>
            </w:r>
          </w:p>
        </w:tc>
      </w:tr>
      <w:tr w:rsidR="00993E3C" w:rsidRPr="006A1F4C">
        <w:tc>
          <w:tcPr>
            <w:tcW w:w="3070" w:type="dxa"/>
            <w:tcBorders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Con</w:t>
            </w:r>
          </w:p>
        </w:tc>
        <w:tc>
          <w:tcPr>
            <w:tcW w:w="3070" w:type="dxa"/>
            <w:tcBorders>
              <w:bottom w:val="nil"/>
            </w:tcBorders>
            <w:vAlign w:val="bottom"/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21,1±3,1</w:t>
            </w:r>
          </w:p>
        </w:tc>
        <w:tc>
          <w:tcPr>
            <w:tcW w:w="3071" w:type="dxa"/>
            <w:tcBorders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52,3±9,1</w:t>
            </w:r>
          </w:p>
        </w:tc>
      </w:tr>
      <w:tr w:rsidR="00993E3C" w:rsidRPr="006A1F4C">
        <w:tc>
          <w:tcPr>
            <w:tcW w:w="3070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T1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14,0±2,1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49,5±7,1</w:t>
            </w:r>
          </w:p>
        </w:tc>
      </w:tr>
      <w:tr w:rsidR="00993E3C" w:rsidRPr="006A1F4C">
        <w:tc>
          <w:tcPr>
            <w:tcW w:w="3070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T2</w:t>
            </w:r>
          </w:p>
        </w:tc>
        <w:tc>
          <w:tcPr>
            <w:tcW w:w="3070" w:type="dxa"/>
            <w:tcBorders>
              <w:top w:val="nil"/>
              <w:bottom w:val="nil"/>
            </w:tcBorders>
            <w:vAlign w:val="bottom"/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14,7±2,2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63,2±5,7</w:t>
            </w:r>
          </w:p>
        </w:tc>
      </w:tr>
      <w:tr w:rsidR="00993E3C" w:rsidRPr="006A1F4C">
        <w:tc>
          <w:tcPr>
            <w:tcW w:w="3070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T3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13,5±2,0</w:t>
            </w: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65,4±6,2</w:t>
            </w:r>
          </w:p>
        </w:tc>
      </w:tr>
      <w:tr w:rsidR="00993E3C" w:rsidRPr="006A1F4C">
        <w:tc>
          <w:tcPr>
            <w:tcW w:w="3070" w:type="dxa"/>
            <w:tcBorders>
              <w:top w:val="nil"/>
              <w:bottom w:val="single" w:sz="4" w:space="0" w:color="000000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T4</w:t>
            </w:r>
          </w:p>
        </w:tc>
        <w:tc>
          <w:tcPr>
            <w:tcW w:w="3070" w:type="dxa"/>
            <w:tcBorders>
              <w:top w:val="nil"/>
              <w:bottom w:val="single" w:sz="4" w:space="0" w:color="000000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14,0±2,3</w:t>
            </w:r>
          </w:p>
        </w:tc>
        <w:tc>
          <w:tcPr>
            <w:tcW w:w="3071" w:type="dxa"/>
            <w:tcBorders>
              <w:top w:val="nil"/>
              <w:bottom w:val="single" w:sz="4" w:space="0" w:color="000000"/>
            </w:tcBorders>
          </w:tcPr>
          <w:p w:rsidR="00993E3C" w:rsidRPr="006A1F4C" w:rsidRDefault="00993E3C" w:rsidP="00001FD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A1F4C">
              <w:rPr>
                <w:color w:val="000000"/>
                <w:sz w:val="20"/>
                <w:szCs w:val="20"/>
              </w:rPr>
              <w:t>52,9±6,8</w:t>
            </w:r>
          </w:p>
        </w:tc>
      </w:tr>
    </w:tbl>
    <w:p w:rsidR="00993E3C" w:rsidRPr="006A1F4C" w:rsidRDefault="00993E3C" w:rsidP="00001FDA">
      <w:pPr>
        <w:jc w:val="center"/>
        <w:rPr>
          <w:color w:val="000000"/>
          <w:sz w:val="20"/>
          <w:szCs w:val="20"/>
        </w:rPr>
      </w:pPr>
    </w:p>
    <w:p w:rsidR="00993E3C" w:rsidRDefault="00993E3C" w:rsidP="008B2AA9">
      <w:pPr>
        <w:pStyle w:val="Default"/>
        <w:ind w:firstLine="708"/>
        <w:jc w:val="both"/>
      </w:pPr>
      <w:r w:rsidRPr="006A1F4C">
        <w:t>Para os espermatozoides suínos pós-descongelamento o azeite de oliva não apresentou relevância para manutenção da qualidade espermática. Contudo, uma perspectiva de estudo seria a avaliação do azeite de oliva adicionado ao diluente de resfriamento, para prolongar a vida útil do sêmen resfriado, pois se verificou tendências de proteção à membrana nas concentrações de 0,5 e 0,75%.</w:t>
      </w:r>
    </w:p>
    <w:p w:rsidR="00993E3C" w:rsidRDefault="00993E3C" w:rsidP="008B2AA9">
      <w:pPr>
        <w:pStyle w:val="Default"/>
        <w:ind w:firstLine="708"/>
        <w:jc w:val="both"/>
      </w:pPr>
      <w:r w:rsidRPr="006A1F4C">
        <w:t xml:space="preserve"> </w:t>
      </w:r>
    </w:p>
    <w:p w:rsidR="00993E3C" w:rsidRPr="006A1F4C" w:rsidRDefault="00993E3C" w:rsidP="00C05C9D">
      <w:pPr>
        <w:pStyle w:val="Ttulodaseoprimria"/>
        <w:rPr>
          <w:sz w:val="24"/>
          <w:szCs w:val="24"/>
        </w:rPr>
      </w:pPr>
      <w:r w:rsidRPr="006A1F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 w:rsidRPr="006A1F4C">
        <w:rPr>
          <w:sz w:val="24"/>
          <w:szCs w:val="24"/>
        </w:rPr>
        <w:t>CONSIDERAÇÕES FINAIS</w:t>
      </w:r>
    </w:p>
    <w:p w:rsidR="00993E3C" w:rsidRDefault="00993E3C" w:rsidP="008B2AA9">
      <w:pPr>
        <w:ind w:firstLine="708"/>
      </w:pPr>
      <w:r w:rsidRPr="006A1F4C">
        <w:t xml:space="preserve">O azeite de oliva não gera toxicidade ao sêmen suíno, além de apresentar uma tendência numérica, sem diferença estatística, de proteção e manutenção da viabilidade espermática. </w:t>
      </w:r>
    </w:p>
    <w:p w:rsidR="00993E3C" w:rsidRPr="006A1F4C" w:rsidRDefault="00993E3C" w:rsidP="008B2AA9">
      <w:pPr>
        <w:ind w:firstLine="708"/>
      </w:pPr>
    </w:p>
    <w:p w:rsidR="00993E3C" w:rsidRPr="00D91FFF" w:rsidRDefault="00993E3C" w:rsidP="00017706">
      <w:pPr>
        <w:pStyle w:val="Ttulodaseoprimria"/>
        <w:jc w:val="left"/>
        <w:rPr>
          <w:lang w:val="en-US"/>
        </w:rPr>
      </w:pPr>
      <w:r w:rsidRPr="00D91FFF">
        <w:rPr>
          <w:lang w:val="en-US"/>
        </w:rPr>
        <w:t>REFERÊNCIAS</w:t>
      </w:r>
    </w:p>
    <w:p w:rsidR="00993E3C" w:rsidRPr="006A1F4C" w:rsidRDefault="00993E3C" w:rsidP="0095499F">
      <w:pPr>
        <w:pStyle w:val="Default"/>
        <w:jc w:val="both"/>
      </w:pPr>
      <w:r w:rsidRPr="00D91FFF">
        <w:rPr>
          <w:lang w:val="en-US"/>
        </w:rPr>
        <w:t xml:space="preserve">ARMSTRONG, J. S.; RAJASEKARAN, M.; CHAMULITRAT, W.; GATTI, P.; HELLSTROM, W. J.; SIKKA, S. C. Characterization of reactive oxygen species induced effects on human spermatozoa movement and energy metabolism. </w:t>
      </w:r>
      <w:r w:rsidRPr="006A1F4C">
        <w:rPr>
          <w:i/>
          <w:iCs/>
        </w:rPr>
        <w:t xml:space="preserve">Free </w:t>
      </w:r>
      <w:r w:rsidRPr="00446DB1">
        <w:rPr>
          <w:b/>
          <w:bCs/>
        </w:rPr>
        <w:t>Radical Biology &amp; Medicine</w:t>
      </w:r>
      <w:r w:rsidRPr="006A1F4C">
        <w:t xml:space="preserve">, v.26, p. 1377–1390, 1999.    </w:t>
      </w:r>
    </w:p>
    <w:p w:rsidR="00993E3C" w:rsidRPr="006A1F4C" w:rsidRDefault="00993E3C" w:rsidP="00820C06">
      <w:pPr>
        <w:pStyle w:val="Default"/>
        <w:spacing w:before="240"/>
        <w:jc w:val="both"/>
      </w:pPr>
      <w:r w:rsidRPr="006A1F4C">
        <w:t xml:space="preserve">CBRA. 1998. Manual para exame andrológico e avaliação de sêmen animal. Colégio Brasileiro de Reprodução Animal. 2ª Ed. Belo Horizonte: CBRA, 49. </w:t>
      </w:r>
    </w:p>
    <w:p w:rsidR="00993E3C" w:rsidRPr="006A1F4C" w:rsidRDefault="00993E3C" w:rsidP="0095499F">
      <w:pPr>
        <w:pStyle w:val="Default"/>
        <w:jc w:val="both"/>
      </w:pPr>
    </w:p>
    <w:p w:rsidR="00993E3C" w:rsidRPr="006A1F4C" w:rsidRDefault="00993E3C" w:rsidP="0095499F">
      <w:pPr>
        <w:pStyle w:val="Default"/>
        <w:jc w:val="both"/>
      </w:pPr>
      <w:r w:rsidRPr="006A1F4C">
        <w:t xml:space="preserve">GROßFELD, R.; SIEG, B.; STRUCKMANN, C.; FRENZEL, A.; W.M.C. MAXWELL, W.M.C. Rath New aspects of boar semen freezing strategies </w:t>
      </w:r>
      <w:r w:rsidRPr="00446DB1">
        <w:rPr>
          <w:b/>
          <w:bCs/>
        </w:rPr>
        <w:t>Theriogenology</w:t>
      </w:r>
      <w:r w:rsidRPr="006A1F4C">
        <w:t xml:space="preserve">, v. 70, p. 1225–1233, 2008. </w:t>
      </w:r>
    </w:p>
    <w:p w:rsidR="00993E3C" w:rsidRPr="006A1F4C" w:rsidRDefault="00993E3C" w:rsidP="0095499F">
      <w:pPr>
        <w:pStyle w:val="Default"/>
        <w:jc w:val="both"/>
      </w:pPr>
    </w:p>
    <w:p w:rsidR="00993E3C" w:rsidRPr="00D91FFF" w:rsidRDefault="00993E3C" w:rsidP="0095499F">
      <w:pPr>
        <w:ind w:firstLine="0"/>
        <w:rPr>
          <w:lang w:val="en-US"/>
        </w:rPr>
      </w:pPr>
      <w:r w:rsidRPr="00D91FFF">
        <w:rPr>
          <w:lang w:val="en-US"/>
        </w:rPr>
        <w:t xml:space="preserve">HARRISON, R.A.P.; VICKERS, S.E. Use fluorescent probes to assess membrane integrity in mammalian spermatozoa. </w:t>
      </w:r>
      <w:r w:rsidRPr="00D91FFF">
        <w:rPr>
          <w:b/>
          <w:bCs/>
          <w:lang w:val="en-US"/>
        </w:rPr>
        <w:t>Journal of Reproduction and Fertility</w:t>
      </w:r>
      <w:r w:rsidRPr="00D91FFF">
        <w:rPr>
          <w:lang w:val="en-US"/>
        </w:rPr>
        <w:t>, v. 88, p.343-352, 1990.</w:t>
      </w:r>
    </w:p>
    <w:p w:rsidR="00993E3C" w:rsidRPr="00D91FFF" w:rsidRDefault="00993E3C" w:rsidP="0095499F">
      <w:pPr>
        <w:pStyle w:val="Default"/>
        <w:jc w:val="both"/>
        <w:rPr>
          <w:lang w:val="en-US"/>
        </w:rPr>
      </w:pPr>
      <w:r w:rsidRPr="00D91FFF">
        <w:rPr>
          <w:lang w:val="en-US"/>
        </w:rPr>
        <w:t xml:space="preserve"> </w:t>
      </w:r>
    </w:p>
    <w:p w:rsidR="00993E3C" w:rsidRDefault="00993E3C" w:rsidP="0095499F">
      <w:pPr>
        <w:pStyle w:val="Default"/>
        <w:jc w:val="both"/>
      </w:pPr>
      <w:r w:rsidRPr="00D91FFF">
        <w:rPr>
          <w:lang w:val="en-US"/>
        </w:rPr>
        <w:t xml:space="preserve">MINIOTI, K. S.; GEORGIOU, C. A. High throughput .ow injection bioluminometric method for olive oil antioxidant capacity. </w:t>
      </w:r>
      <w:r w:rsidRPr="00446DB1">
        <w:rPr>
          <w:b/>
          <w:bCs/>
        </w:rPr>
        <w:t>Food Chemistry</w:t>
      </w:r>
      <w:r w:rsidRPr="009C358F">
        <w:rPr>
          <w:i/>
          <w:iCs/>
        </w:rPr>
        <w:t>,</w:t>
      </w:r>
      <w:r w:rsidRPr="009C358F">
        <w:t xml:space="preserve"> v. 109, p. 455–461, 2008.</w:t>
      </w:r>
    </w:p>
    <w:sectPr w:rsidR="00993E3C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3C" w:rsidRDefault="00993E3C" w:rsidP="00B11590">
      <w:r>
        <w:separator/>
      </w:r>
    </w:p>
  </w:endnote>
  <w:endnote w:type="continuationSeparator" w:id="0">
    <w:p w:rsidR="00993E3C" w:rsidRDefault="00993E3C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3C" w:rsidRDefault="00993E3C" w:rsidP="00B11590">
      <w:r>
        <w:separator/>
      </w:r>
    </w:p>
  </w:footnote>
  <w:footnote w:type="continuationSeparator" w:id="0">
    <w:p w:rsidR="00993E3C" w:rsidRDefault="00993E3C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3C" w:rsidRDefault="00993E3C" w:rsidP="00F34C67">
    <w:pPr>
      <w:pStyle w:val="Header"/>
      <w:jc w:val="center"/>
      <w:rPr>
        <w:rStyle w:val="Strong"/>
        <w:rFonts w:cs="Arial"/>
        <w:b w:val="0"/>
        <w:bCs w:val="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18.2pt;margin-top:-21.15pt;width:194.25pt;height:58.5pt;z-index:-251656192;visibility:visible">
          <v:imagedata r:id="rId1" o:title="" grayscale="t"/>
        </v:shape>
      </w:pict>
    </w:r>
  </w:p>
  <w:p w:rsidR="00993E3C" w:rsidRDefault="00993E3C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  <w:r>
      <w:rPr>
        <w:rStyle w:val="Strong"/>
        <w:rFonts w:cs="Arial"/>
        <w:b w:val="0"/>
        <w:bCs w:val="0"/>
        <w:sz w:val="20"/>
        <w:szCs w:val="20"/>
      </w:rPr>
      <w:t>.</w:t>
    </w:r>
  </w:p>
  <w:p w:rsidR="00993E3C" w:rsidRDefault="00993E3C" w:rsidP="00F34C67">
    <w:pPr>
      <w:pStyle w:val="Header"/>
      <w:ind w:firstLine="0"/>
      <w:rPr>
        <w:rStyle w:val="Strong"/>
        <w:rFonts w:cs="Arial"/>
        <w:b w:val="0"/>
        <w:bCs w:val="0"/>
        <w:sz w:val="20"/>
        <w:szCs w:val="20"/>
      </w:rPr>
    </w:pPr>
  </w:p>
  <w:p w:rsidR="00993E3C" w:rsidRDefault="00993E3C" w:rsidP="00F34C67">
    <w:pPr>
      <w:pStyle w:val="Header"/>
      <w:ind w:firstLine="0"/>
      <w:jc w:val="center"/>
      <w:rPr>
        <w:rStyle w:val="Strong"/>
        <w:rFonts w:cs="Arial"/>
        <w:b w:val="0"/>
        <w:bCs w:val="0"/>
        <w:sz w:val="20"/>
        <w:szCs w:val="20"/>
      </w:rPr>
    </w:pPr>
  </w:p>
  <w:p w:rsidR="00993E3C" w:rsidRPr="00F34C67" w:rsidRDefault="00993E3C" w:rsidP="00F34C67">
    <w:pPr>
      <w:pStyle w:val="Header"/>
      <w:ind w:firstLine="0"/>
      <w:jc w:val="center"/>
      <w:rPr>
        <w:b/>
        <w:bCs/>
        <w:sz w:val="18"/>
        <w:szCs w:val="18"/>
      </w:rPr>
    </w:pPr>
    <w:r w:rsidRPr="00F34C67">
      <w:rPr>
        <w:rStyle w:val="Strong"/>
        <w:rFonts w:cs="Arial"/>
        <w:b w:val="0"/>
        <w:bCs w:val="0"/>
        <w:sz w:val="18"/>
        <w:szCs w:val="18"/>
      </w:rPr>
      <w:t>Rio Grande/RS, Brasil, 23 a 25 de outubro de 2013.</w:t>
    </w:r>
  </w:p>
  <w:p w:rsidR="00993E3C" w:rsidRDefault="00993E3C" w:rsidP="00F34C67">
    <w:pPr>
      <w:pStyle w:val="Header"/>
      <w:jc w:val="left"/>
      <w:rPr>
        <w:rStyle w:val="Strong"/>
        <w:rFonts w:cs="Arial"/>
        <w:b w:val="0"/>
        <w:bCs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1FDA"/>
    <w:rsid w:val="000033F3"/>
    <w:rsid w:val="000156FF"/>
    <w:rsid w:val="00016490"/>
    <w:rsid w:val="00017706"/>
    <w:rsid w:val="000228B6"/>
    <w:rsid w:val="00044AE0"/>
    <w:rsid w:val="00051933"/>
    <w:rsid w:val="000541CE"/>
    <w:rsid w:val="00060364"/>
    <w:rsid w:val="00092E18"/>
    <w:rsid w:val="000A512D"/>
    <w:rsid w:val="000A7455"/>
    <w:rsid w:val="000B5CA9"/>
    <w:rsid w:val="000C006B"/>
    <w:rsid w:val="000C4CA2"/>
    <w:rsid w:val="000D6CEA"/>
    <w:rsid w:val="000F630E"/>
    <w:rsid w:val="00124B8A"/>
    <w:rsid w:val="00125006"/>
    <w:rsid w:val="00125D0C"/>
    <w:rsid w:val="001307D0"/>
    <w:rsid w:val="00136F48"/>
    <w:rsid w:val="0014798E"/>
    <w:rsid w:val="00156D1A"/>
    <w:rsid w:val="0016379B"/>
    <w:rsid w:val="00181984"/>
    <w:rsid w:val="001845D9"/>
    <w:rsid w:val="00185FE1"/>
    <w:rsid w:val="0019466D"/>
    <w:rsid w:val="001A1AD1"/>
    <w:rsid w:val="001A2E6C"/>
    <w:rsid w:val="001A7A9F"/>
    <w:rsid w:val="001C7B8C"/>
    <w:rsid w:val="001E3BC8"/>
    <w:rsid w:val="001E496B"/>
    <w:rsid w:val="001E5CFC"/>
    <w:rsid w:val="001E64E3"/>
    <w:rsid w:val="001F5F24"/>
    <w:rsid w:val="00203D0A"/>
    <w:rsid w:val="00214B80"/>
    <w:rsid w:val="00221F51"/>
    <w:rsid w:val="00246EA4"/>
    <w:rsid w:val="0024774D"/>
    <w:rsid w:val="00251C9F"/>
    <w:rsid w:val="002746DF"/>
    <w:rsid w:val="0029083B"/>
    <w:rsid w:val="002A7A57"/>
    <w:rsid w:val="002A7E45"/>
    <w:rsid w:val="002B2290"/>
    <w:rsid w:val="002D1060"/>
    <w:rsid w:val="002D3ACA"/>
    <w:rsid w:val="002F0A65"/>
    <w:rsid w:val="003006E8"/>
    <w:rsid w:val="0031546D"/>
    <w:rsid w:val="003220E0"/>
    <w:rsid w:val="00373ABD"/>
    <w:rsid w:val="0038756E"/>
    <w:rsid w:val="003939C2"/>
    <w:rsid w:val="003A1DB1"/>
    <w:rsid w:val="003A528B"/>
    <w:rsid w:val="003A7343"/>
    <w:rsid w:val="003B48BE"/>
    <w:rsid w:val="003B79EF"/>
    <w:rsid w:val="003C0392"/>
    <w:rsid w:val="003D63DE"/>
    <w:rsid w:val="003D7EB2"/>
    <w:rsid w:val="003E43B0"/>
    <w:rsid w:val="003F2681"/>
    <w:rsid w:val="00420309"/>
    <w:rsid w:val="00441261"/>
    <w:rsid w:val="00446DB1"/>
    <w:rsid w:val="00481DC7"/>
    <w:rsid w:val="004867F7"/>
    <w:rsid w:val="00493589"/>
    <w:rsid w:val="004939CF"/>
    <w:rsid w:val="004A48FF"/>
    <w:rsid w:val="004B0105"/>
    <w:rsid w:val="004B2778"/>
    <w:rsid w:val="004D0755"/>
    <w:rsid w:val="004D6F90"/>
    <w:rsid w:val="004F7A69"/>
    <w:rsid w:val="00505922"/>
    <w:rsid w:val="0051376D"/>
    <w:rsid w:val="00520FB9"/>
    <w:rsid w:val="00534BCF"/>
    <w:rsid w:val="00561694"/>
    <w:rsid w:val="00565145"/>
    <w:rsid w:val="00571588"/>
    <w:rsid w:val="005741B0"/>
    <w:rsid w:val="00581EAB"/>
    <w:rsid w:val="00586A03"/>
    <w:rsid w:val="005904D6"/>
    <w:rsid w:val="0059447D"/>
    <w:rsid w:val="005C6C9E"/>
    <w:rsid w:val="005E0349"/>
    <w:rsid w:val="005E7481"/>
    <w:rsid w:val="006036A5"/>
    <w:rsid w:val="00612A6C"/>
    <w:rsid w:val="006202E5"/>
    <w:rsid w:val="00620F4A"/>
    <w:rsid w:val="0064285E"/>
    <w:rsid w:val="00646DFD"/>
    <w:rsid w:val="00670A1A"/>
    <w:rsid w:val="00671B9B"/>
    <w:rsid w:val="00671BB0"/>
    <w:rsid w:val="0068260C"/>
    <w:rsid w:val="0068461D"/>
    <w:rsid w:val="006869CA"/>
    <w:rsid w:val="00687790"/>
    <w:rsid w:val="006A1F4C"/>
    <w:rsid w:val="006A4184"/>
    <w:rsid w:val="006D0BD9"/>
    <w:rsid w:val="006D3DFA"/>
    <w:rsid w:val="006D5601"/>
    <w:rsid w:val="006E48FC"/>
    <w:rsid w:val="006E6325"/>
    <w:rsid w:val="006F0937"/>
    <w:rsid w:val="006F1A5E"/>
    <w:rsid w:val="006F1B6E"/>
    <w:rsid w:val="0070021A"/>
    <w:rsid w:val="0070271A"/>
    <w:rsid w:val="00704D13"/>
    <w:rsid w:val="0071073B"/>
    <w:rsid w:val="00710CF2"/>
    <w:rsid w:val="00711AA3"/>
    <w:rsid w:val="00715D0F"/>
    <w:rsid w:val="00727686"/>
    <w:rsid w:val="00730A4B"/>
    <w:rsid w:val="00731B6A"/>
    <w:rsid w:val="007345DE"/>
    <w:rsid w:val="007363AA"/>
    <w:rsid w:val="0074745E"/>
    <w:rsid w:val="00747EA6"/>
    <w:rsid w:val="007671A5"/>
    <w:rsid w:val="0078238A"/>
    <w:rsid w:val="00796058"/>
    <w:rsid w:val="007976BE"/>
    <w:rsid w:val="007A57F8"/>
    <w:rsid w:val="007C2D07"/>
    <w:rsid w:val="007D2DD9"/>
    <w:rsid w:val="00815527"/>
    <w:rsid w:val="008156ED"/>
    <w:rsid w:val="00820C06"/>
    <w:rsid w:val="0082219D"/>
    <w:rsid w:val="008474D8"/>
    <w:rsid w:val="008475E5"/>
    <w:rsid w:val="00866B48"/>
    <w:rsid w:val="0087720B"/>
    <w:rsid w:val="008B2AA9"/>
    <w:rsid w:val="008C7591"/>
    <w:rsid w:val="008E2E79"/>
    <w:rsid w:val="008E4282"/>
    <w:rsid w:val="008E5DFF"/>
    <w:rsid w:val="008E761B"/>
    <w:rsid w:val="009069CD"/>
    <w:rsid w:val="00911F40"/>
    <w:rsid w:val="00927097"/>
    <w:rsid w:val="00933EB3"/>
    <w:rsid w:val="0093772B"/>
    <w:rsid w:val="00941544"/>
    <w:rsid w:val="0094275B"/>
    <w:rsid w:val="0095499F"/>
    <w:rsid w:val="00955638"/>
    <w:rsid w:val="00972CB5"/>
    <w:rsid w:val="0097481F"/>
    <w:rsid w:val="00993E3C"/>
    <w:rsid w:val="009942DF"/>
    <w:rsid w:val="009A2508"/>
    <w:rsid w:val="009A2E05"/>
    <w:rsid w:val="009A46BE"/>
    <w:rsid w:val="009A7076"/>
    <w:rsid w:val="009B0959"/>
    <w:rsid w:val="009B2034"/>
    <w:rsid w:val="009C358F"/>
    <w:rsid w:val="009C3BE7"/>
    <w:rsid w:val="009C6DE0"/>
    <w:rsid w:val="009C7503"/>
    <w:rsid w:val="009D0723"/>
    <w:rsid w:val="009D15D4"/>
    <w:rsid w:val="009E35D2"/>
    <w:rsid w:val="009F1118"/>
    <w:rsid w:val="00A00C4C"/>
    <w:rsid w:val="00A11738"/>
    <w:rsid w:val="00A1454F"/>
    <w:rsid w:val="00A4187F"/>
    <w:rsid w:val="00A46B1E"/>
    <w:rsid w:val="00A756D1"/>
    <w:rsid w:val="00A771C1"/>
    <w:rsid w:val="00A802B0"/>
    <w:rsid w:val="00A82EFC"/>
    <w:rsid w:val="00AC37FA"/>
    <w:rsid w:val="00AD09F3"/>
    <w:rsid w:val="00B01BB0"/>
    <w:rsid w:val="00B10EA7"/>
    <w:rsid w:val="00B11590"/>
    <w:rsid w:val="00B222B2"/>
    <w:rsid w:val="00B23314"/>
    <w:rsid w:val="00B429A9"/>
    <w:rsid w:val="00B448D2"/>
    <w:rsid w:val="00B655F1"/>
    <w:rsid w:val="00B85630"/>
    <w:rsid w:val="00BA74E1"/>
    <w:rsid w:val="00BC480B"/>
    <w:rsid w:val="00BD1059"/>
    <w:rsid w:val="00BD3887"/>
    <w:rsid w:val="00BE1948"/>
    <w:rsid w:val="00BE38B7"/>
    <w:rsid w:val="00BE6889"/>
    <w:rsid w:val="00BF61F9"/>
    <w:rsid w:val="00BF6840"/>
    <w:rsid w:val="00C04D7B"/>
    <w:rsid w:val="00C05C9D"/>
    <w:rsid w:val="00C139D3"/>
    <w:rsid w:val="00C1593D"/>
    <w:rsid w:val="00C16530"/>
    <w:rsid w:val="00C21C1A"/>
    <w:rsid w:val="00C341B4"/>
    <w:rsid w:val="00C3678A"/>
    <w:rsid w:val="00C47B84"/>
    <w:rsid w:val="00C6733F"/>
    <w:rsid w:val="00C760D9"/>
    <w:rsid w:val="00C853F6"/>
    <w:rsid w:val="00C9431C"/>
    <w:rsid w:val="00C950B7"/>
    <w:rsid w:val="00C97DA0"/>
    <w:rsid w:val="00CB7287"/>
    <w:rsid w:val="00CC2743"/>
    <w:rsid w:val="00CC3E16"/>
    <w:rsid w:val="00CC6DAB"/>
    <w:rsid w:val="00CD6871"/>
    <w:rsid w:val="00CF1B19"/>
    <w:rsid w:val="00D02DFD"/>
    <w:rsid w:val="00D209A2"/>
    <w:rsid w:val="00D25A87"/>
    <w:rsid w:val="00D35599"/>
    <w:rsid w:val="00D43862"/>
    <w:rsid w:val="00D47BFE"/>
    <w:rsid w:val="00D53BAC"/>
    <w:rsid w:val="00D740C6"/>
    <w:rsid w:val="00D76EB6"/>
    <w:rsid w:val="00D90DE3"/>
    <w:rsid w:val="00D91FFF"/>
    <w:rsid w:val="00D9418B"/>
    <w:rsid w:val="00DC5BA5"/>
    <w:rsid w:val="00DC64F0"/>
    <w:rsid w:val="00DD1B99"/>
    <w:rsid w:val="00DE05F0"/>
    <w:rsid w:val="00DE6963"/>
    <w:rsid w:val="00DF7F95"/>
    <w:rsid w:val="00E004F5"/>
    <w:rsid w:val="00E00638"/>
    <w:rsid w:val="00E07CC0"/>
    <w:rsid w:val="00E14902"/>
    <w:rsid w:val="00E35F7E"/>
    <w:rsid w:val="00E405B6"/>
    <w:rsid w:val="00E72A1A"/>
    <w:rsid w:val="00E823AA"/>
    <w:rsid w:val="00E823BB"/>
    <w:rsid w:val="00E8458A"/>
    <w:rsid w:val="00E9660A"/>
    <w:rsid w:val="00EA51E0"/>
    <w:rsid w:val="00EC0E02"/>
    <w:rsid w:val="00EC7F8E"/>
    <w:rsid w:val="00ED0506"/>
    <w:rsid w:val="00ED3A66"/>
    <w:rsid w:val="00ED59C1"/>
    <w:rsid w:val="00EE05BB"/>
    <w:rsid w:val="00F079A8"/>
    <w:rsid w:val="00F17EFC"/>
    <w:rsid w:val="00F253AC"/>
    <w:rsid w:val="00F33752"/>
    <w:rsid w:val="00F34C67"/>
    <w:rsid w:val="00F34DC9"/>
    <w:rsid w:val="00F65035"/>
    <w:rsid w:val="00F65AE9"/>
    <w:rsid w:val="00F77F4C"/>
    <w:rsid w:val="00F87B30"/>
    <w:rsid w:val="00F91794"/>
    <w:rsid w:val="00FB3E05"/>
    <w:rsid w:val="00FB4669"/>
    <w:rsid w:val="00FB5972"/>
    <w:rsid w:val="00FD2F17"/>
    <w:rsid w:val="00FD4DB1"/>
    <w:rsid w:val="00FE4700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 w:cs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723"/>
    <w:rPr>
      <w:rFonts w:ascii="Arial" w:eastAsia="Times New Roman" w:hAnsi="Arial" w:cs="Arial"/>
      <w:kern w:val="1"/>
      <w:sz w:val="24"/>
      <w:szCs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28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rsid w:val="009D0723"/>
    <w:rPr>
      <w:rFonts w:ascii="Arial" w:hAnsi="Arial" w:cs="Arial"/>
      <w:b/>
      <w:bCs/>
      <w:caps/>
      <w:kern w:val="28"/>
      <w:sz w:val="32"/>
      <w:szCs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bCs/>
      <w:sz w:val="26"/>
      <w:szCs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iCs/>
      <w:kern w:val="0"/>
      <w:sz w:val="18"/>
      <w:szCs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szCs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90"/>
    <w:rPr>
      <w:rFonts w:ascii="Arial" w:eastAsia="Times New Roman" w:hAnsi="Arial" w:cs="Arial"/>
      <w:kern w:val="1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90"/>
    <w:rPr>
      <w:rFonts w:ascii="Arial" w:eastAsia="Times New Roman" w:hAnsi="Arial" w:cs="Arial"/>
      <w:kern w:val="1"/>
      <w:sz w:val="24"/>
      <w:szCs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3F3"/>
    <w:rPr>
      <w:rFonts w:ascii="Arial" w:eastAsia="Times New Roman" w:hAnsi="Arial" w:cs="Arial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3F3"/>
    <w:rPr>
      <w:rFonts w:ascii="Arial" w:eastAsia="Times New Roman" w:hAnsi="Arial" w:cs="Arial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customStyle="1" w:styleId="Default">
    <w:name w:val="Default"/>
    <w:uiPriority w:val="99"/>
    <w:rsid w:val="002A7E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2030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E03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0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349"/>
    <w:rPr>
      <w:rFonts w:ascii="Arial" w:eastAsia="Times New Roman" w:hAnsi="Arial" w:cs="Arial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835</Words>
  <Characters>4515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AZEITE DE OLIVA PARA O CONGELAMENTO DE SÊMEN SUÍNO</dc:title>
  <dc:subject/>
  <dc:creator>DGI</dc:creator>
  <cp:keywords/>
  <dc:description/>
  <cp:lastModifiedBy>SAMC</cp:lastModifiedBy>
  <cp:revision>2</cp:revision>
  <cp:lastPrinted>2013-05-31T18:34:00Z</cp:lastPrinted>
  <dcterms:created xsi:type="dcterms:W3CDTF">2013-07-18T18:45:00Z</dcterms:created>
  <dcterms:modified xsi:type="dcterms:W3CDTF">2013-07-18T18:45:00Z</dcterms:modified>
</cp:coreProperties>
</file>