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Default="00F34C67" w:rsidP="0029083B">
      <w:pPr>
        <w:ind w:firstLine="0"/>
        <w:jc w:val="center"/>
        <w:rPr>
          <w:b/>
        </w:rPr>
      </w:pPr>
    </w:p>
    <w:p w:rsidR="00B16569" w:rsidRPr="00B16569" w:rsidRDefault="00B16569" w:rsidP="00B16569">
      <w:pPr>
        <w:ind w:firstLine="0"/>
        <w:jc w:val="center"/>
        <w:rPr>
          <w:b/>
          <w:caps/>
          <w:kern w:val="24"/>
        </w:rPr>
      </w:pPr>
      <w:r w:rsidRPr="00B16569">
        <w:rPr>
          <w:b/>
          <w:caps/>
          <w:kern w:val="24"/>
        </w:rPr>
        <w:t>O Uso de Tecnologia Ubíqua em Ambientes de Ensino Adaptativos</w:t>
      </w:r>
    </w:p>
    <w:p w:rsidR="0029083B" w:rsidRDefault="0029083B" w:rsidP="00CB49E9">
      <w:pPr>
        <w:ind w:firstLine="0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Pr="00717832" w:rsidRDefault="00B16569" w:rsidP="0029083B">
      <w:pPr>
        <w:ind w:firstLine="0"/>
        <w:jc w:val="right"/>
        <w:rPr>
          <w:b/>
        </w:rPr>
      </w:pPr>
      <w:r>
        <w:rPr>
          <w:b/>
        </w:rPr>
        <w:t>OLIVEIRA</w:t>
      </w:r>
      <w:r w:rsidR="00C47B84" w:rsidRPr="00717832">
        <w:rPr>
          <w:b/>
        </w:rPr>
        <w:t xml:space="preserve">, </w:t>
      </w:r>
      <w:proofErr w:type="spellStart"/>
      <w:r>
        <w:rPr>
          <w:b/>
        </w:rPr>
        <w:t>Leander</w:t>
      </w:r>
      <w:proofErr w:type="spellEnd"/>
      <w:r>
        <w:rPr>
          <w:b/>
        </w:rPr>
        <w:t xml:space="preserve"> Cordeiro</w:t>
      </w:r>
    </w:p>
    <w:p w:rsidR="00C47B84" w:rsidRPr="00717832" w:rsidRDefault="00717832" w:rsidP="0029083B">
      <w:pPr>
        <w:ind w:firstLine="0"/>
        <w:jc w:val="right"/>
        <w:rPr>
          <w:b/>
        </w:rPr>
      </w:pPr>
      <w:r w:rsidRPr="00717832">
        <w:rPr>
          <w:b/>
        </w:rPr>
        <w:t>ESPÍNDOLA</w:t>
      </w:r>
      <w:r>
        <w:rPr>
          <w:b/>
        </w:rPr>
        <w:t xml:space="preserve">, </w:t>
      </w:r>
      <w:r w:rsidRPr="00717832">
        <w:rPr>
          <w:b/>
        </w:rPr>
        <w:t>Danúbia Espíndola</w:t>
      </w:r>
      <w:r w:rsidR="00B3225D">
        <w:rPr>
          <w:b/>
        </w:rPr>
        <w:t xml:space="preserve"> </w:t>
      </w:r>
      <w:r w:rsidR="00C47B84" w:rsidRPr="00717832">
        <w:rPr>
          <w:b/>
        </w:rPr>
        <w:t>(orientador</w:t>
      </w:r>
      <w:r w:rsidR="00B3225D">
        <w:rPr>
          <w:b/>
        </w:rPr>
        <w:t>a</w:t>
      </w:r>
      <w:r w:rsidR="00C47B84" w:rsidRPr="00717832">
        <w:rPr>
          <w:b/>
        </w:rPr>
        <w:t>)</w:t>
      </w:r>
    </w:p>
    <w:p w:rsidR="00C47B84" w:rsidRPr="00717832" w:rsidRDefault="00B16569" w:rsidP="00A771C1">
      <w:pPr>
        <w:ind w:firstLine="0"/>
        <w:jc w:val="right"/>
        <w:rPr>
          <w:b/>
        </w:rPr>
      </w:pPr>
      <w:r w:rsidRPr="00B16569">
        <w:rPr>
          <w:b/>
        </w:rPr>
        <w:t>leanderdeoliveira@gmail.com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B3225D" w:rsidRPr="00B3225D">
        <w:rPr>
          <w:b/>
        </w:rPr>
        <w:t>Encontro de Pós-Graduação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B3225D" w:rsidRPr="00B3225D">
        <w:rPr>
          <w:b/>
        </w:rPr>
        <w:t>Sistemas de Computação</w:t>
      </w:r>
    </w:p>
    <w:p w:rsidR="00FE6FA9" w:rsidRPr="00FB3E05" w:rsidRDefault="00FE6FA9" w:rsidP="00711AA3">
      <w:pPr>
        <w:ind w:firstLine="0"/>
        <w:jc w:val="right"/>
        <w:rPr>
          <w:b/>
        </w:rPr>
      </w:pPr>
    </w:p>
    <w:p w:rsidR="00C341B4" w:rsidRPr="00FE6FA9" w:rsidRDefault="009F1118" w:rsidP="009F1118">
      <w:pPr>
        <w:ind w:firstLine="0"/>
      </w:pPr>
      <w:r w:rsidRPr="009F1118">
        <w:rPr>
          <w:b/>
        </w:rPr>
        <w:t>Palavras-chave</w:t>
      </w:r>
      <w:r w:rsidR="00FE6FA9">
        <w:rPr>
          <w:b/>
        </w:rPr>
        <w:t xml:space="preserve">: </w:t>
      </w:r>
      <w:r w:rsidR="00B16569">
        <w:t>Ambientes Virtuais de Aprendizagem</w:t>
      </w:r>
      <w:r w:rsidR="00FE6FA9" w:rsidRPr="00FE6FA9">
        <w:t xml:space="preserve">, </w:t>
      </w:r>
      <w:r w:rsidR="00B16569">
        <w:t>Computação Ubíqua</w:t>
      </w:r>
      <w:r w:rsidR="00FE6FA9" w:rsidRPr="00FE6FA9">
        <w:t>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B16569" w:rsidRDefault="00B16569" w:rsidP="00B16569">
      <w:r>
        <w:t>O</w:t>
      </w:r>
      <w:r w:rsidRPr="007F4E08">
        <w:t>s</w:t>
      </w:r>
      <w:r>
        <w:t xml:space="preserve"> Ambientes Virtuais de Aprendizagem (</w:t>
      </w:r>
      <w:proofErr w:type="spellStart"/>
      <w:r>
        <w:t>AVAs</w:t>
      </w:r>
      <w:proofErr w:type="spellEnd"/>
      <w:r>
        <w:t>)</w:t>
      </w:r>
      <w:r w:rsidRPr="007F4E08">
        <w:t xml:space="preserve"> alcançaram um nível de disseminação elevado e </w:t>
      </w:r>
      <w:r>
        <w:t>bastante positivo. A utilização de seus recursos pode ser aplicada a diversos contextos de ensino e suas possibilidades de desenvolvimento e implementação são muitas.</w:t>
      </w:r>
      <w:r w:rsidRPr="007F4E08">
        <w:t xml:space="preserve"> </w:t>
      </w:r>
      <w:r>
        <w:t>U</w:t>
      </w:r>
      <w:r w:rsidRPr="007F4E08">
        <w:t>m</w:t>
      </w:r>
      <w:r>
        <w:t xml:space="preserve"> dos</w:t>
      </w:r>
      <w:r w:rsidRPr="007F4E08">
        <w:t xml:space="preserve"> desafios em relação a este tipo de ambiente computacional diz respeito à</w:t>
      </w:r>
      <w:r>
        <w:t xml:space="preserve"> inovação e transparência na</w:t>
      </w:r>
      <w:r w:rsidRPr="007F4E08">
        <w:t xml:space="preserve"> interação do usuário com os</w:t>
      </w:r>
      <w:r>
        <w:t xml:space="preserve"> ambientes</w:t>
      </w:r>
      <w:r w:rsidRPr="007F4E08">
        <w:t>. Neste contexto, existem descrit</w:t>
      </w:r>
      <w:r>
        <w:t>a</w:t>
      </w:r>
      <w:r w:rsidRPr="007F4E08">
        <w:t xml:space="preserve">s na literatura </w:t>
      </w:r>
      <w:r>
        <w:t>pesquisas</w:t>
      </w:r>
      <w:r w:rsidRPr="007F4E08">
        <w:t xml:space="preserve"> que tratam de </w:t>
      </w:r>
      <w:r>
        <w:t>variados fatores referentes a inovação em Ambientes Virtuais de Ensino-Aprendizagem.</w:t>
      </w:r>
    </w:p>
    <w:p w:rsidR="00B16569" w:rsidRDefault="00B16569" w:rsidP="00B16569">
      <w:pPr>
        <w:spacing w:before="100" w:after="100"/>
        <w:ind w:firstLine="708"/>
      </w:pPr>
      <w:r>
        <w:t xml:space="preserve">O conceito </w:t>
      </w:r>
      <w:proofErr w:type="spellStart"/>
      <w:r w:rsidRPr="00676FD9">
        <w:rPr>
          <w:i/>
        </w:rPr>
        <w:t>Ubiquitous</w:t>
      </w:r>
      <w:proofErr w:type="spellEnd"/>
      <w:r w:rsidRPr="00676FD9">
        <w:rPr>
          <w:i/>
        </w:rPr>
        <w:t xml:space="preserve"> Learning</w:t>
      </w:r>
      <w:r>
        <w:t xml:space="preserve"> ou </w:t>
      </w:r>
      <w:r w:rsidRPr="00676FD9">
        <w:rPr>
          <w:i/>
        </w:rPr>
        <w:t>U-Learning</w:t>
      </w:r>
      <w:r>
        <w:t xml:space="preserve"> (</w:t>
      </w:r>
      <w:proofErr w:type="spellStart"/>
      <w:r w:rsidRPr="007F4E08">
        <w:t>Yahya</w:t>
      </w:r>
      <w:proofErr w:type="spellEnd"/>
      <w:r>
        <w:t xml:space="preserve"> </w:t>
      </w:r>
      <w:r w:rsidRPr="00A50FBA">
        <w:rPr>
          <w:i/>
        </w:rPr>
        <w:t>et. al.</w:t>
      </w:r>
      <w:r w:rsidR="003B059D">
        <w:rPr>
          <w:i/>
        </w:rPr>
        <w:t>,</w:t>
      </w:r>
      <w:r>
        <w:t xml:space="preserve"> 2010) faz uso do paradigma de aprendizagem que emprega de ambientes computacionais ubíquos. Considerando a computação ubíqua, mostrada por </w:t>
      </w:r>
      <w:proofErr w:type="spellStart"/>
      <w:r w:rsidRPr="007F4E08">
        <w:t>Weiser</w:t>
      </w:r>
      <w:proofErr w:type="spellEnd"/>
      <w:r w:rsidRPr="007F4E08">
        <w:t xml:space="preserve"> e Brown (</w:t>
      </w:r>
      <w:r>
        <w:t xml:space="preserve">1996) como um cenário onde computadores se integram ao cotidiano do usuário e a troca de informações acontece sem que o usuário a perceba, inúmeros objetos habituais (eletrodomésticos, carros, casas, roupas, livros, dentre outros) poderão interagir com o usuário de maneira totalmente transparente. </w:t>
      </w:r>
    </w:p>
    <w:p w:rsidR="00B16569" w:rsidRDefault="00B16569" w:rsidP="00111B8A">
      <w:pPr>
        <w:spacing w:before="100" w:after="100"/>
        <w:ind w:firstLine="708"/>
      </w:pPr>
      <w:r w:rsidRPr="00B16569">
        <w:t>No processo de aprendizagem o aluno vivencia tais alterações através de ambientes (salas) ubíquos, fazendo com que o processamento computacional torne-se transparente no dia a dia das escolas, transformando a aprendizagem em um processo intuitivo, prazeroso e mais proveitoso em relação aos métodos comuns de ensino.</w:t>
      </w:r>
      <w:r w:rsidR="00111B8A">
        <w:t xml:space="preserve"> Assim, o aluno terá a sua disposição, em horário propício, o conteúdo adequado para o seu estudo levando em consideração o contexto a que se encontra inserido. </w:t>
      </w:r>
    </w:p>
    <w:p w:rsidR="00A62EC4" w:rsidRPr="004D3431" w:rsidRDefault="00A62EC4" w:rsidP="008922CC">
      <w:pPr>
        <w:ind w:firstLine="0"/>
      </w:pPr>
    </w:p>
    <w:p w:rsidR="009D0723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</w:t>
      </w:r>
      <w:r w:rsidR="00A62EC4">
        <w:t>PROCEDIMENTO METODOLÓGICO</w:t>
      </w:r>
    </w:p>
    <w:p w:rsidR="00111B8A" w:rsidRDefault="00111B8A" w:rsidP="008922CC">
      <w:pPr>
        <w:ind w:firstLine="0"/>
        <w:rPr>
          <w:rFonts w:cs="Arial"/>
        </w:rPr>
      </w:pPr>
    </w:p>
    <w:p w:rsidR="00111B8A" w:rsidRDefault="00111B8A" w:rsidP="008922CC">
      <w:pPr>
        <w:ind w:firstLine="708"/>
      </w:pPr>
      <w:r w:rsidRPr="000B2998">
        <w:t xml:space="preserve">O objetivo geral deste </w:t>
      </w:r>
      <w:r>
        <w:t>trabalho</w:t>
      </w:r>
      <w:r w:rsidRPr="000B2998">
        <w:t xml:space="preserve"> é desenvolver um </w:t>
      </w:r>
      <w:r w:rsidR="008922CC">
        <w:t xml:space="preserve">módulo para </w:t>
      </w:r>
      <w:r w:rsidR="003B059D">
        <w:t>um</w:t>
      </w:r>
      <w:r w:rsidR="008922CC">
        <w:t xml:space="preserve"> </w:t>
      </w:r>
      <w:r>
        <w:t>ambiente virtual de aprendizagem</w:t>
      </w:r>
      <w:r w:rsidRPr="000B2998">
        <w:t xml:space="preserve"> que permita a integração da computação ubíqua a ambientes educacionais, validando-o em uma disciplina de um curso de graduação para testar sua eficiência em situações reais de ensino.</w:t>
      </w:r>
      <w:r w:rsidR="008922CC">
        <w:t xml:space="preserve"> </w:t>
      </w:r>
      <w:r w:rsidRPr="00201DD5">
        <w:t xml:space="preserve">Para atender o objetivo geral, </w:t>
      </w:r>
      <w:r>
        <w:t>a seguinte metodologia é proposta:</w:t>
      </w:r>
    </w:p>
    <w:p w:rsidR="00111B8A" w:rsidRPr="00201DD5" w:rsidRDefault="00111B8A" w:rsidP="00111B8A">
      <w:pPr>
        <w:ind w:firstLine="708"/>
      </w:pPr>
    </w:p>
    <w:p w:rsidR="00111B8A" w:rsidRPr="00201DD5" w:rsidRDefault="00111B8A" w:rsidP="00111B8A">
      <w:pPr>
        <w:widowControl/>
        <w:numPr>
          <w:ilvl w:val="0"/>
          <w:numId w:val="3"/>
        </w:numPr>
        <w:ind w:left="1134"/>
      </w:pPr>
      <w:r>
        <w:lastRenderedPageBreak/>
        <w:t>Pesquisar</w:t>
      </w:r>
      <w:r w:rsidRPr="00201DD5">
        <w:t xml:space="preserve"> bibliogr</w:t>
      </w:r>
      <w:r>
        <w:t>a</w:t>
      </w:r>
      <w:r w:rsidRPr="00201DD5">
        <w:t>f</w:t>
      </w:r>
      <w:r>
        <w:t>ias</w:t>
      </w:r>
      <w:r w:rsidRPr="00201DD5">
        <w:t xml:space="preserve"> sobre a computação</w:t>
      </w:r>
      <w:r>
        <w:t>, ambientes</w:t>
      </w:r>
      <w:r w:rsidRPr="00201DD5">
        <w:t xml:space="preserve"> e</w:t>
      </w:r>
      <w:r>
        <w:t xml:space="preserve"> a</w:t>
      </w:r>
      <w:r w:rsidRPr="00201DD5">
        <w:t xml:space="preserve"> aprendizagem ubíqua</w:t>
      </w:r>
      <w:r>
        <w:t>,</w:t>
      </w:r>
      <w:r w:rsidRPr="00201DD5">
        <w:t xml:space="preserve"> computação móvel e sua aplicação em ambientes de ensino-aprendizagem;</w:t>
      </w:r>
    </w:p>
    <w:p w:rsidR="00111B8A" w:rsidRPr="00201DD5" w:rsidRDefault="00111B8A" w:rsidP="00111B8A">
      <w:pPr>
        <w:widowControl/>
        <w:numPr>
          <w:ilvl w:val="0"/>
          <w:numId w:val="3"/>
        </w:numPr>
        <w:ind w:left="1134"/>
      </w:pPr>
      <w:r>
        <w:t>Analisar</w:t>
      </w:r>
      <w:r w:rsidRPr="00201DD5">
        <w:t xml:space="preserve"> as características dos ambientes virtuais de aprendizagem</w:t>
      </w:r>
      <w:r>
        <w:t>,</w:t>
      </w:r>
      <w:r w:rsidRPr="00201DD5">
        <w:t xml:space="preserve"> </w:t>
      </w:r>
      <w:r>
        <w:t>de</w:t>
      </w:r>
      <w:r w:rsidRPr="00201DD5">
        <w:t xml:space="preserve"> modo a definir a maneira como será desenvolvida a aplicação proposta; </w:t>
      </w:r>
    </w:p>
    <w:p w:rsidR="00111B8A" w:rsidRPr="00201DD5" w:rsidRDefault="00111B8A" w:rsidP="00111B8A">
      <w:pPr>
        <w:widowControl/>
        <w:numPr>
          <w:ilvl w:val="0"/>
          <w:numId w:val="3"/>
        </w:numPr>
        <w:ind w:left="1134"/>
      </w:pPr>
      <w:r w:rsidRPr="00201DD5">
        <w:t xml:space="preserve">Estudar a engenharia de software voltada ao desenvolvimento proposto e sua aplicação, e a partir dela, </w:t>
      </w:r>
      <w:r>
        <w:t>desenvolver</w:t>
      </w:r>
      <w:r w:rsidRPr="00201DD5">
        <w:t xml:space="preserve"> </w:t>
      </w:r>
      <w:r>
        <w:t>a</w:t>
      </w:r>
      <w:r w:rsidRPr="00201DD5">
        <w:t xml:space="preserve"> implementação </w:t>
      </w:r>
      <w:r>
        <w:t>de um m</w:t>
      </w:r>
      <w:r w:rsidRPr="00201DD5">
        <w:t>ódulo adapt</w:t>
      </w:r>
      <w:r>
        <w:t>ativo, selecionando ferramentas,</w:t>
      </w:r>
      <w:r w:rsidRPr="00201DD5">
        <w:t xml:space="preserve"> plataformas</w:t>
      </w:r>
      <w:r>
        <w:t xml:space="preserve"> e componentes que serão utilizado</w:t>
      </w:r>
      <w:r w:rsidRPr="00201DD5">
        <w:t>s</w:t>
      </w:r>
      <w:r>
        <w:t>;</w:t>
      </w:r>
    </w:p>
    <w:p w:rsidR="00111B8A" w:rsidRPr="00201DD5" w:rsidRDefault="00111B8A" w:rsidP="00111B8A">
      <w:pPr>
        <w:widowControl/>
        <w:numPr>
          <w:ilvl w:val="0"/>
          <w:numId w:val="3"/>
        </w:numPr>
        <w:ind w:left="1134"/>
      </w:pPr>
      <w:r w:rsidRPr="00201DD5">
        <w:t>Desenvolver a aplicação que permitirá a adapta</w:t>
      </w:r>
      <w:r>
        <w:t>bilidade</w:t>
      </w:r>
      <w:r w:rsidRPr="00201DD5">
        <w:t xml:space="preserve"> dos ambientes educacionais a</w:t>
      </w:r>
      <w:r>
        <w:t>o acesso móvel e ubíquo;</w:t>
      </w:r>
    </w:p>
    <w:p w:rsidR="00111B8A" w:rsidRPr="000B2998" w:rsidRDefault="00111B8A" w:rsidP="00111B8A">
      <w:pPr>
        <w:widowControl/>
        <w:numPr>
          <w:ilvl w:val="0"/>
          <w:numId w:val="3"/>
        </w:numPr>
        <w:ind w:left="1134"/>
      </w:pPr>
      <w:r w:rsidRPr="000B2998">
        <w:t>Validar a aplicação no contexto de uma disciplina considerando não apenas a sua funcionalidade, mas também a sua eficiência como ferramenta de ensino.</w:t>
      </w:r>
    </w:p>
    <w:p w:rsidR="00680A3D" w:rsidRPr="00D72F3F" w:rsidRDefault="00680A3D" w:rsidP="007C7288">
      <w:pPr>
        <w:ind w:firstLine="0"/>
        <w:rPr>
          <w:color w:val="FF0000"/>
        </w:rPr>
      </w:pPr>
    </w:p>
    <w:p w:rsidR="009D0723" w:rsidRPr="00EA5360" w:rsidRDefault="0082219D" w:rsidP="0029083B">
      <w:pPr>
        <w:pStyle w:val="Ttulodaseoprimria"/>
      </w:pPr>
      <w:proofErr w:type="gramStart"/>
      <w:r w:rsidRPr="00EA5360">
        <w:t>3</w:t>
      </w:r>
      <w:proofErr w:type="gramEnd"/>
      <w:r w:rsidRPr="00EA5360">
        <w:t xml:space="preserve"> </w:t>
      </w:r>
      <w:r w:rsidR="0029083B" w:rsidRPr="00EA5360">
        <w:t xml:space="preserve">DISCUSSÃO </w:t>
      </w:r>
    </w:p>
    <w:p w:rsidR="009D0723" w:rsidRPr="00D72F3F" w:rsidRDefault="009D0723" w:rsidP="00C83B47">
      <w:pPr>
        <w:ind w:firstLine="0"/>
        <w:rPr>
          <w:rFonts w:cs="Arial"/>
          <w:color w:val="FF0000"/>
        </w:rPr>
      </w:pPr>
    </w:p>
    <w:p w:rsidR="00EA5360" w:rsidRDefault="00EA5360" w:rsidP="00EA5360">
      <w:pPr>
        <w:ind w:firstLine="708"/>
      </w:pPr>
      <w:r>
        <w:t>O trabalho esta em estágio inicial no entanto diversos aspectos foram analisados durante a revisão do estado da arte. Dentre as possíveis limitações relacionadas à proposta, podem ser descritas as possibilidades de inadequações (banco de dados ou linguagens de programação, por exemplo)</w:t>
      </w:r>
      <w:r w:rsidRPr="006E239C">
        <w:t xml:space="preserve"> entre o mó</w:t>
      </w:r>
      <w:r>
        <w:t>dulo desenvolvido e</w:t>
      </w:r>
      <w:r w:rsidRPr="006E239C">
        <w:t xml:space="preserve"> </w:t>
      </w:r>
      <w:r>
        <w:t xml:space="preserve">o </w:t>
      </w:r>
      <w:r w:rsidRPr="006E239C">
        <w:t>ambiente educacional</w:t>
      </w:r>
      <w:r>
        <w:t xml:space="preserve"> que o integrará</w:t>
      </w:r>
      <w:r w:rsidRPr="006E239C">
        <w:t>.</w:t>
      </w:r>
      <w:r>
        <w:t xml:space="preserve"> Como solução a este risco propõe-se estudar previamente as necessidades dos ambientes para o desenvolvimento do módulo, para assim disponibilizar possíveis plug-ins que tornem compatíveis ambientes e o módulo adaptável.</w:t>
      </w:r>
    </w:p>
    <w:p w:rsidR="00EA5360" w:rsidRDefault="00EA5360" w:rsidP="008922CC">
      <w:pPr>
        <w:ind w:firstLine="708"/>
      </w:pPr>
      <w:r w:rsidRPr="00B53CA6">
        <w:t xml:space="preserve">A utilização de sensores necessita de inúmeros cuidados como a localização destes, seu posicionamento, sua adequação ao objetivo proposto, dentro outros. Os cuidados relacionados a esta parte </w:t>
      </w:r>
      <w:r>
        <w:t>da implementação</w:t>
      </w:r>
      <w:r w:rsidRPr="00B53CA6">
        <w:t xml:space="preserve"> devem ser estudados com maior profundidade, durante o levantamento bibliográfico.</w:t>
      </w:r>
      <w:r w:rsidR="008922CC">
        <w:t xml:space="preserve"> </w:t>
      </w:r>
      <w:r>
        <w:t>Outra limitação refere-se à adaptação ao acesso móvel, ou seja, a interface poderá sofrer distorções. Uma solução possível seria a integração de uma biblioteca ou API gráfica que atualize constantemente a interface aos inúmeros modelos de dispositivos existentes (o framework WURFL, por exemplo).</w:t>
      </w:r>
    </w:p>
    <w:p w:rsidR="00EA5360" w:rsidRDefault="00EA5360" w:rsidP="008922CC">
      <w:pPr>
        <w:ind w:firstLine="708"/>
      </w:pPr>
      <w:r>
        <w:t xml:space="preserve">Durante a validação da ferramenta, dúvidas sobre a utilização podem surgir por parte dos usuários. Para que este fator não seja um empecilho, deve-se </w:t>
      </w:r>
      <w:bookmarkStart w:id="0" w:name="_GoBack"/>
      <w:bookmarkEnd w:id="0"/>
      <w:r>
        <w:t xml:space="preserve">desenvolver </w:t>
      </w:r>
      <w:r w:rsidR="008922CC">
        <w:t>estudos de design de interfaces para ambientes de aprendizagem ubíquos e</w:t>
      </w:r>
      <w:r>
        <w:t xml:space="preserve"> oferecer treinamento específico para a ferramenta.</w:t>
      </w:r>
      <w:r w:rsidR="008922CC">
        <w:t xml:space="preserve"> </w:t>
      </w:r>
      <w:r>
        <w:t xml:space="preserve">Por meio de todos os aspectos descritos, </w:t>
      </w:r>
      <w:r w:rsidR="008922CC">
        <w:t xml:space="preserve">pretende-se construir e validar </w:t>
      </w:r>
      <w:r>
        <w:t xml:space="preserve">a ferramenta </w:t>
      </w:r>
      <w:r w:rsidR="00CB49E9">
        <w:t xml:space="preserve">como </w:t>
      </w:r>
      <w:r>
        <w:t>proposta</w:t>
      </w:r>
      <w:r w:rsidR="00CB49E9">
        <w:t xml:space="preserve"> a ambientes ubíquos de aprendizagem</w:t>
      </w:r>
      <w:r>
        <w:t>.</w:t>
      </w:r>
    </w:p>
    <w:p w:rsidR="00C23E6C" w:rsidRPr="00D72F3F" w:rsidRDefault="00C23E6C" w:rsidP="008922CC">
      <w:pPr>
        <w:ind w:firstLine="0"/>
        <w:rPr>
          <w:color w:val="FF0000"/>
        </w:rPr>
      </w:pPr>
    </w:p>
    <w:p w:rsidR="009D0723" w:rsidRPr="008922CC" w:rsidRDefault="0082219D" w:rsidP="00711AA3">
      <w:pPr>
        <w:pStyle w:val="Ttulodaseoprimria"/>
        <w:jc w:val="left"/>
      </w:pPr>
      <w:r w:rsidRPr="008922CC">
        <w:t>REFERÊNCIAS</w:t>
      </w:r>
    </w:p>
    <w:p w:rsidR="00D43862" w:rsidRPr="00CB49E9" w:rsidRDefault="00D43862" w:rsidP="009F1118">
      <w:pPr>
        <w:ind w:firstLine="0"/>
        <w:rPr>
          <w:color w:val="FF0000"/>
          <w:sz w:val="22"/>
        </w:rPr>
      </w:pPr>
    </w:p>
    <w:p w:rsidR="008922CC" w:rsidRPr="00CB49E9" w:rsidRDefault="008922CC" w:rsidP="008922CC">
      <w:pPr>
        <w:spacing w:before="100" w:after="100"/>
        <w:rPr>
          <w:sz w:val="22"/>
          <w:lang w:val="en-US"/>
        </w:rPr>
      </w:pPr>
      <w:proofErr w:type="spellStart"/>
      <w:r w:rsidRPr="00CB49E9">
        <w:rPr>
          <w:sz w:val="22"/>
        </w:rPr>
        <w:t>Yahya</w:t>
      </w:r>
      <w:proofErr w:type="spellEnd"/>
      <w:r w:rsidRPr="00CB49E9">
        <w:rPr>
          <w:sz w:val="22"/>
        </w:rPr>
        <w:t xml:space="preserve">, </w:t>
      </w:r>
      <w:proofErr w:type="spellStart"/>
      <w:r w:rsidRPr="00CB49E9">
        <w:rPr>
          <w:sz w:val="22"/>
        </w:rPr>
        <w:t>Saadiah</w:t>
      </w:r>
      <w:proofErr w:type="spellEnd"/>
      <w:r w:rsidRPr="00CB49E9">
        <w:rPr>
          <w:sz w:val="22"/>
        </w:rPr>
        <w:t xml:space="preserve">; Ahmad, </w:t>
      </w:r>
      <w:proofErr w:type="spellStart"/>
      <w:r w:rsidRPr="00CB49E9">
        <w:rPr>
          <w:sz w:val="22"/>
        </w:rPr>
        <w:t>Erny</w:t>
      </w:r>
      <w:proofErr w:type="spellEnd"/>
      <w:r w:rsidRPr="00CB49E9">
        <w:rPr>
          <w:sz w:val="22"/>
        </w:rPr>
        <w:t xml:space="preserve"> A.; </w:t>
      </w:r>
      <w:proofErr w:type="spellStart"/>
      <w:r w:rsidRPr="00CB49E9">
        <w:rPr>
          <w:sz w:val="22"/>
        </w:rPr>
        <w:t>Jalil</w:t>
      </w:r>
      <w:proofErr w:type="spellEnd"/>
      <w:r w:rsidRPr="00CB49E9">
        <w:rPr>
          <w:sz w:val="22"/>
        </w:rPr>
        <w:t xml:space="preserve">, </w:t>
      </w:r>
      <w:proofErr w:type="spellStart"/>
      <w:r w:rsidRPr="00CB49E9">
        <w:rPr>
          <w:sz w:val="22"/>
        </w:rPr>
        <w:t>Kamarularifin</w:t>
      </w:r>
      <w:proofErr w:type="spellEnd"/>
      <w:r w:rsidRPr="00CB49E9">
        <w:rPr>
          <w:sz w:val="22"/>
        </w:rPr>
        <w:t xml:space="preserve"> A. (2010). </w:t>
      </w:r>
      <w:r w:rsidRPr="00CB49E9">
        <w:rPr>
          <w:i/>
          <w:sz w:val="22"/>
          <w:lang w:val="en-US"/>
        </w:rPr>
        <w:t>The definition and characteristics of ubiquitous learning: A discussion</w:t>
      </w:r>
      <w:r w:rsidRPr="00CB49E9">
        <w:rPr>
          <w:sz w:val="22"/>
          <w:lang w:val="en-US"/>
        </w:rPr>
        <w:t xml:space="preserve">. </w:t>
      </w:r>
      <w:r w:rsidRPr="00CB49E9">
        <w:rPr>
          <w:i/>
          <w:sz w:val="22"/>
          <w:lang w:val="en-US"/>
        </w:rPr>
        <w:t xml:space="preserve">International Journal </w:t>
      </w:r>
      <w:proofErr w:type="gramStart"/>
      <w:r w:rsidRPr="00CB49E9">
        <w:rPr>
          <w:i/>
          <w:sz w:val="22"/>
          <w:lang w:val="en-US"/>
        </w:rPr>
        <w:t>of  Education</w:t>
      </w:r>
      <w:proofErr w:type="gramEnd"/>
      <w:r w:rsidRPr="00CB49E9">
        <w:rPr>
          <w:i/>
          <w:sz w:val="22"/>
          <w:lang w:val="en-US"/>
        </w:rPr>
        <w:t xml:space="preserve"> and Development using Information and Communication Technology </w:t>
      </w:r>
      <w:r w:rsidRPr="00CB49E9">
        <w:rPr>
          <w:sz w:val="22"/>
          <w:lang w:val="en-US"/>
        </w:rPr>
        <w:t>(IJEDICT), Vol. 6, 117-127.</w:t>
      </w:r>
    </w:p>
    <w:p w:rsidR="00464CB1" w:rsidRPr="00CB49E9" w:rsidRDefault="008922CC" w:rsidP="008922CC">
      <w:pPr>
        <w:spacing w:before="100" w:after="100"/>
        <w:rPr>
          <w:sz w:val="22"/>
          <w:lang w:val="en-US"/>
        </w:rPr>
      </w:pPr>
      <w:r w:rsidRPr="00CB49E9">
        <w:rPr>
          <w:sz w:val="22"/>
          <w:lang w:val="en-US"/>
        </w:rPr>
        <w:t xml:space="preserve">Weiser, Mark; Brown, John S. (1996). </w:t>
      </w:r>
      <w:proofErr w:type="gramStart"/>
      <w:r w:rsidRPr="00CB49E9">
        <w:rPr>
          <w:i/>
          <w:sz w:val="22"/>
          <w:lang w:val="en-US"/>
        </w:rPr>
        <w:t>The Coming Age of Calm Technology</w:t>
      </w:r>
      <w:r w:rsidRPr="00CB49E9">
        <w:rPr>
          <w:sz w:val="22"/>
          <w:lang w:val="en-US"/>
        </w:rPr>
        <w:t>.</w:t>
      </w:r>
      <w:proofErr w:type="gramEnd"/>
      <w:r w:rsidRPr="00CB49E9">
        <w:rPr>
          <w:sz w:val="22"/>
          <w:lang w:val="en-US"/>
        </w:rPr>
        <w:t xml:space="preserve"> Xerox PARC.</w:t>
      </w:r>
    </w:p>
    <w:sectPr w:rsidR="00464CB1" w:rsidRPr="00CB49E9" w:rsidSect="0082219D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18" w:rsidRDefault="002F0D18" w:rsidP="00B11590">
      <w:r>
        <w:separator/>
      </w:r>
    </w:p>
  </w:endnote>
  <w:endnote w:type="continuationSeparator" w:id="0">
    <w:p w:rsidR="002F0D18" w:rsidRDefault="002F0D18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18" w:rsidRDefault="002F0D18" w:rsidP="00B11590">
      <w:r>
        <w:separator/>
      </w:r>
    </w:p>
  </w:footnote>
  <w:footnote w:type="continuationSeparator" w:id="0">
    <w:p w:rsidR="002F0D18" w:rsidRDefault="002F0D18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8A" w:rsidRDefault="00111B8A" w:rsidP="00F34C67">
    <w:pPr>
      <w:pStyle w:val="Cabealho"/>
      <w:jc w:val="center"/>
      <w:rPr>
        <w:rStyle w:val="Forte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1B8A" w:rsidRDefault="00111B8A" w:rsidP="00F34C67">
    <w:pPr>
      <w:pStyle w:val="Cabealho"/>
      <w:jc w:val="left"/>
      <w:rPr>
        <w:rStyle w:val="Forte"/>
      </w:rPr>
    </w:pPr>
    <w:r>
      <w:rPr>
        <w:rStyle w:val="Forte"/>
        <w:b w:val="0"/>
        <w:sz w:val="20"/>
        <w:szCs w:val="20"/>
      </w:rPr>
      <w:t>.</w:t>
    </w:r>
  </w:p>
  <w:p w:rsidR="00111B8A" w:rsidRDefault="00111B8A" w:rsidP="00F34C67">
    <w:pPr>
      <w:pStyle w:val="Cabealho"/>
      <w:ind w:firstLine="0"/>
      <w:rPr>
        <w:rStyle w:val="Forte"/>
      </w:rPr>
    </w:pPr>
  </w:p>
  <w:p w:rsidR="00111B8A" w:rsidRDefault="00111B8A" w:rsidP="00F34C67">
    <w:pPr>
      <w:pStyle w:val="Cabealho"/>
      <w:ind w:firstLine="0"/>
      <w:jc w:val="center"/>
      <w:rPr>
        <w:rStyle w:val="Forte"/>
      </w:rPr>
    </w:pPr>
  </w:p>
  <w:p w:rsidR="00111B8A" w:rsidRPr="00F34C67" w:rsidRDefault="00111B8A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111B8A" w:rsidRDefault="00111B8A" w:rsidP="00F34C67">
    <w:pPr>
      <w:pStyle w:val="Cabealho"/>
      <w:jc w:val="left"/>
      <w:rPr>
        <w:rStyle w:val="For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D62"/>
    <w:multiLevelType w:val="hybridMultilevel"/>
    <w:tmpl w:val="EF96F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3D8"/>
    <w:multiLevelType w:val="hybridMultilevel"/>
    <w:tmpl w:val="CE705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66057"/>
    <w:multiLevelType w:val="hybridMultilevel"/>
    <w:tmpl w:val="3CD2B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23"/>
    <w:rsid w:val="000033F3"/>
    <w:rsid w:val="00040C25"/>
    <w:rsid w:val="00047EF6"/>
    <w:rsid w:val="00065410"/>
    <w:rsid w:val="00094750"/>
    <w:rsid w:val="000B5888"/>
    <w:rsid w:val="000E1AD7"/>
    <w:rsid w:val="000F497C"/>
    <w:rsid w:val="000F630E"/>
    <w:rsid w:val="00111B8A"/>
    <w:rsid w:val="00117FF7"/>
    <w:rsid w:val="001217DB"/>
    <w:rsid w:val="00125006"/>
    <w:rsid w:val="001355B8"/>
    <w:rsid w:val="001477BF"/>
    <w:rsid w:val="00147FE5"/>
    <w:rsid w:val="001603B4"/>
    <w:rsid w:val="00185FE1"/>
    <w:rsid w:val="0019606A"/>
    <w:rsid w:val="001A2A4B"/>
    <w:rsid w:val="001B12FA"/>
    <w:rsid w:val="001B5DF8"/>
    <w:rsid w:val="001B7CA1"/>
    <w:rsid w:val="001C7B8C"/>
    <w:rsid w:val="001E496B"/>
    <w:rsid w:val="00203D0A"/>
    <w:rsid w:val="00233212"/>
    <w:rsid w:val="0024774D"/>
    <w:rsid w:val="00251960"/>
    <w:rsid w:val="002569DB"/>
    <w:rsid w:val="00271AE4"/>
    <w:rsid w:val="002814A2"/>
    <w:rsid w:val="0029083B"/>
    <w:rsid w:val="002A1B5B"/>
    <w:rsid w:val="002A7A57"/>
    <w:rsid w:val="002B7059"/>
    <w:rsid w:val="002E4F76"/>
    <w:rsid w:val="002F0D18"/>
    <w:rsid w:val="003102DA"/>
    <w:rsid w:val="003220E0"/>
    <w:rsid w:val="00333C2C"/>
    <w:rsid w:val="0034729F"/>
    <w:rsid w:val="003567CB"/>
    <w:rsid w:val="00362999"/>
    <w:rsid w:val="003B059D"/>
    <w:rsid w:val="003C0392"/>
    <w:rsid w:val="0040392A"/>
    <w:rsid w:val="004273B5"/>
    <w:rsid w:val="00450C0F"/>
    <w:rsid w:val="00464CB1"/>
    <w:rsid w:val="004819B8"/>
    <w:rsid w:val="0048655E"/>
    <w:rsid w:val="00493589"/>
    <w:rsid w:val="004A164D"/>
    <w:rsid w:val="004E509C"/>
    <w:rsid w:val="004F34E7"/>
    <w:rsid w:val="004F7A69"/>
    <w:rsid w:val="0050468F"/>
    <w:rsid w:val="00520FB9"/>
    <w:rsid w:val="0052731F"/>
    <w:rsid w:val="005507C3"/>
    <w:rsid w:val="00586CC3"/>
    <w:rsid w:val="005C352B"/>
    <w:rsid w:val="005D0066"/>
    <w:rsid w:val="005F2724"/>
    <w:rsid w:val="00623EA3"/>
    <w:rsid w:val="006259E0"/>
    <w:rsid w:val="0065674F"/>
    <w:rsid w:val="00680A3D"/>
    <w:rsid w:val="006A4184"/>
    <w:rsid w:val="006A53EB"/>
    <w:rsid w:val="006A759C"/>
    <w:rsid w:val="006D08E6"/>
    <w:rsid w:val="006F1A5E"/>
    <w:rsid w:val="0070021A"/>
    <w:rsid w:val="00702303"/>
    <w:rsid w:val="00711AA3"/>
    <w:rsid w:val="00717832"/>
    <w:rsid w:val="00731B6A"/>
    <w:rsid w:val="00771A72"/>
    <w:rsid w:val="00794323"/>
    <w:rsid w:val="007A7770"/>
    <w:rsid w:val="007C04B2"/>
    <w:rsid w:val="007C2D07"/>
    <w:rsid w:val="007C7288"/>
    <w:rsid w:val="00815294"/>
    <w:rsid w:val="00815A66"/>
    <w:rsid w:val="0082219D"/>
    <w:rsid w:val="0085271B"/>
    <w:rsid w:val="00853D62"/>
    <w:rsid w:val="008922CC"/>
    <w:rsid w:val="008C33FC"/>
    <w:rsid w:val="008D7AFF"/>
    <w:rsid w:val="009118C2"/>
    <w:rsid w:val="00921835"/>
    <w:rsid w:val="00941544"/>
    <w:rsid w:val="00991978"/>
    <w:rsid w:val="009B0959"/>
    <w:rsid w:val="009C0D5B"/>
    <w:rsid w:val="009D0723"/>
    <w:rsid w:val="009F1118"/>
    <w:rsid w:val="00A2006A"/>
    <w:rsid w:val="00A62EC4"/>
    <w:rsid w:val="00A756D1"/>
    <w:rsid w:val="00A771C1"/>
    <w:rsid w:val="00A802B0"/>
    <w:rsid w:val="00AD26FA"/>
    <w:rsid w:val="00AE5682"/>
    <w:rsid w:val="00B037B6"/>
    <w:rsid w:val="00B11590"/>
    <w:rsid w:val="00B16569"/>
    <w:rsid w:val="00B3225D"/>
    <w:rsid w:val="00B460D1"/>
    <w:rsid w:val="00BB4807"/>
    <w:rsid w:val="00BC64E8"/>
    <w:rsid w:val="00BE2EFF"/>
    <w:rsid w:val="00BE5531"/>
    <w:rsid w:val="00C14D8A"/>
    <w:rsid w:val="00C16DD6"/>
    <w:rsid w:val="00C1747B"/>
    <w:rsid w:val="00C23E6C"/>
    <w:rsid w:val="00C341B4"/>
    <w:rsid w:val="00C475DB"/>
    <w:rsid w:val="00C47B84"/>
    <w:rsid w:val="00C83B47"/>
    <w:rsid w:val="00C950B7"/>
    <w:rsid w:val="00C95CF8"/>
    <w:rsid w:val="00CA3567"/>
    <w:rsid w:val="00CB49E9"/>
    <w:rsid w:val="00CB5566"/>
    <w:rsid w:val="00CB65D6"/>
    <w:rsid w:val="00CC3E16"/>
    <w:rsid w:val="00CF1B19"/>
    <w:rsid w:val="00D25A87"/>
    <w:rsid w:val="00D315FC"/>
    <w:rsid w:val="00D43862"/>
    <w:rsid w:val="00D72F3F"/>
    <w:rsid w:val="00D740C6"/>
    <w:rsid w:val="00D907F3"/>
    <w:rsid w:val="00DD1B99"/>
    <w:rsid w:val="00DE6963"/>
    <w:rsid w:val="00E174AC"/>
    <w:rsid w:val="00E3560B"/>
    <w:rsid w:val="00E70A4C"/>
    <w:rsid w:val="00E740F1"/>
    <w:rsid w:val="00EA51E0"/>
    <w:rsid w:val="00EA5360"/>
    <w:rsid w:val="00EB13F7"/>
    <w:rsid w:val="00F05DB7"/>
    <w:rsid w:val="00F34C67"/>
    <w:rsid w:val="00F56270"/>
    <w:rsid w:val="00F65AE9"/>
    <w:rsid w:val="00F671F4"/>
    <w:rsid w:val="00F70B87"/>
    <w:rsid w:val="00F81894"/>
    <w:rsid w:val="00F930B8"/>
    <w:rsid w:val="00FB3E05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nhideWhenUsed/>
    <w:rsid w:val="000033F3"/>
    <w:rPr>
      <w:vertAlign w:val="superscript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4D8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C14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elanormal"/>
    <w:uiPriority w:val="60"/>
    <w:rsid w:val="00040C2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elanormal"/>
    <w:uiPriority w:val="61"/>
    <w:rsid w:val="00040C2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argrafodaLista">
    <w:name w:val="List Paragraph"/>
    <w:basedOn w:val="Normal"/>
    <w:uiPriority w:val="34"/>
    <w:qFormat/>
    <w:rsid w:val="00C83B47"/>
    <w:pPr>
      <w:ind w:left="708"/>
    </w:pPr>
  </w:style>
  <w:style w:type="paragraph" w:styleId="Bibliografia">
    <w:name w:val="Bibliography"/>
    <w:basedOn w:val="Normal"/>
    <w:next w:val="Normal"/>
    <w:uiPriority w:val="37"/>
    <w:unhideWhenUsed/>
    <w:rsid w:val="004E5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>
  <b:Source>
    <b:SourceType>ConferenceProceedings</b:SourceType>
    <b:Tag>51d0aeba5a3c9</b:Tag>
    <b:Title>Augmented Reality: A Class of Displays on the Reality-Virtuality Continuum</b:Title>
    <b:Year>1994</b:Year>
    <b:Author>
      <b:Author>
        <b:NameList>
          <b:Person>
            <b:Last>Milgram</b:Last>
            <b:First>Paul</b:First>
          </b:Person>
          <b:Person>
            <b:Last>Takemura</b:Last>
            <b:First>Haruo</b:First>
          </b:Person>
          <b:Person>
            <b:Last>Utsumi</b:Last>
            <b:First>Akira</b:First>
          </b:Person>
          <b:Person>
            <b:Last>Kishino</b:Last>
            <b:First>Fumio</b:First>
          </b:Person>
        </b:NameList>
      </b:Author>
    </b:Author>
    <b:Pages>282--292</b:Pages>
    <b:RefOrder>1</b:RefOrder>
  </b:Source>
  <b:Source>
    <b:SourceType>ConferenceProceedings</b:SourceType>
    <b:Tag>51d0aeba5a470</b:Tag>
    <b:Title>Augmented Reality Technology and Art: The Analysis and Visualization of Evolving Conceptual Models</b:Title>
    <b:Year>2012</b:Year>
    <b:Author>
      <b:Author>
        <b:NameList>
          <b:Person>
            <b:Last>Geroimenko</b:Last>
            <b:First>V</b:First>
          </b:Person>
        </b:NameList>
      </b:Author>
    </b:Author>
    <b:Pages>445-453</b:Pages>
    <b:StandardNumber>1550-6037</b:StandardNumber>
    <b:RefOrder>2</b:RefOrder>
  </b:Source>
  <b:Source>
    <b:SourceType>JournalArticle</b:SourceType>
    <b:Tag>51d0aeba5a4c9</b:Tag>
    <b:Title>Watchdog Agentâan infotronics-based prognostics approach for product performance degradation assessment and prediction</b:Title>
    <b:Year>2003</b:Year>
    <b:Author>
      <b:Author>
        <b:NameList>
          <b:Person>
            <b:Last>Djurdjanovic</b:Last>
            <b:First>Dragan</b:First>
          </b:Person>
          <b:Person>
            <b:Last>Lee</b:Last>
            <b:First>Jay</b:First>
          </b:Person>
          <b:Person>
            <b:Last>Ni</b:Last>
            <b:First>Jun</b:First>
          </b:Person>
        </b:NameList>
      </b:Author>
    </b:Author>
    <b:JournalName>Advanced Engineering Informatics</b:JournalName>
    <b:Pages>109 - 125</b:Pages>
    <b:Volume>17</b:Volume>
    <b:StandardNumber>1474-0346</b:StandardNumber>
    <b:RefOrder>3</b:RefOrder>
  </b:Source>
</b:Sources>
</file>

<file path=customXml/itemProps1.xml><?xml version="1.0" encoding="utf-8"?>
<ds:datastoreItem xmlns:ds="http://schemas.openxmlformats.org/officeDocument/2006/customXml" ds:itemID="{77CFBD86-1DE0-4DE5-BB2D-40C8B786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Leander</cp:lastModifiedBy>
  <cp:revision>6</cp:revision>
  <cp:lastPrinted>2013-05-31T18:34:00Z</cp:lastPrinted>
  <dcterms:created xsi:type="dcterms:W3CDTF">2013-07-01T23:02:00Z</dcterms:created>
  <dcterms:modified xsi:type="dcterms:W3CDTF">2013-07-02T01:20:00Z</dcterms:modified>
</cp:coreProperties>
</file>