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BC7" w:rsidRDefault="00A237FA">
      <w:pPr>
        <w:jc w:val="center"/>
        <w:rPr>
          <w:rFonts w:ascii="Arial" w:hAnsi="Arial"/>
          <w:sz w:val="24"/>
        </w:rPr>
      </w:pPr>
      <w:bookmarkStart w:id="0" w:name="_GoBack"/>
      <w:bookmarkEnd w:id="0"/>
      <w:r>
        <w:rPr>
          <w:rFonts w:ascii="Arial" w:hAnsi="Arial"/>
          <w:sz w:val="24"/>
        </w:rPr>
        <w:t>13ª Mostra de Produção Universitária- FURG</w:t>
      </w:r>
    </w:p>
    <w:p w:rsidR="00895BC7" w:rsidRPr="005E67A1" w:rsidRDefault="00432F09" w:rsidP="002C6BB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 w:rsidRPr="005E67A1">
        <w:rPr>
          <w:rFonts w:ascii="Arial" w:hAnsi="Arial"/>
          <w:b/>
          <w:sz w:val="24"/>
        </w:rPr>
        <w:t xml:space="preserve">TOXICIDADE DO COBRE EM BAIXA SALINIDADE EM CÉLULAS BRANQUIAIS DE </w:t>
      </w:r>
      <w:r w:rsidRPr="005E67A1">
        <w:rPr>
          <w:rFonts w:ascii="Arial" w:hAnsi="Arial"/>
          <w:b/>
          <w:i/>
          <w:sz w:val="24"/>
        </w:rPr>
        <w:t>MESODESMA MACTROIDES</w:t>
      </w:r>
      <w:r w:rsidRPr="005E67A1">
        <w:rPr>
          <w:rFonts w:ascii="Arial" w:hAnsi="Arial"/>
          <w:b/>
          <w:sz w:val="24"/>
        </w:rPr>
        <w:t xml:space="preserve"> (MARISCO BRANCO)</w:t>
      </w:r>
      <w:r w:rsidRPr="005E67A1">
        <w:rPr>
          <w:rFonts w:ascii="Arial" w:hAnsi="Arial"/>
          <w:b/>
          <w:sz w:val="24"/>
        </w:rPr>
        <w:tab/>
      </w:r>
    </w:p>
    <w:p w:rsidR="00895BC7" w:rsidRPr="00432F09" w:rsidRDefault="00A237FA" w:rsidP="00432F09">
      <w:pPr>
        <w:tabs>
          <w:tab w:val="left" w:pos="5812"/>
          <w:tab w:val="right" w:pos="8504"/>
        </w:tabs>
        <w:spacing w:after="0" w:line="240" w:lineRule="auto"/>
        <w:jc w:val="right"/>
        <w:rPr>
          <w:rFonts w:ascii="Arial" w:hAnsi="Arial"/>
          <w:sz w:val="24"/>
          <w:szCs w:val="24"/>
        </w:rPr>
      </w:pPr>
      <w:r w:rsidRPr="00432F09">
        <w:rPr>
          <w:rFonts w:ascii="Arial" w:hAnsi="Arial"/>
          <w:sz w:val="24"/>
          <w:szCs w:val="24"/>
        </w:rPr>
        <w:t>Santos, Vera Regina Silva</w:t>
      </w:r>
    </w:p>
    <w:p w:rsidR="00895BC7" w:rsidRPr="00432F09" w:rsidRDefault="00A237FA" w:rsidP="00432F09">
      <w:pPr>
        <w:tabs>
          <w:tab w:val="left" w:pos="5812"/>
          <w:tab w:val="right" w:pos="8504"/>
        </w:tabs>
        <w:spacing w:after="0" w:line="240" w:lineRule="auto"/>
        <w:jc w:val="right"/>
        <w:rPr>
          <w:rFonts w:ascii="Arial" w:hAnsi="Arial"/>
          <w:sz w:val="24"/>
          <w:szCs w:val="24"/>
        </w:rPr>
      </w:pPr>
      <w:r w:rsidRPr="00432F09">
        <w:rPr>
          <w:rFonts w:ascii="Arial" w:hAnsi="Arial"/>
          <w:sz w:val="24"/>
          <w:szCs w:val="24"/>
        </w:rPr>
        <w:tab/>
        <w:t>Anjos, Vanessa Abelaira</w:t>
      </w:r>
    </w:p>
    <w:p w:rsidR="00895BC7" w:rsidRPr="00432F09" w:rsidRDefault="00A237FA" w:rsidP="00432F09">
      <w:pPr>
        <w:tabs>
          <w:tab w:val="left" w:pos="5670"/>
          <w:tab w:val="left" w:pos="5812"/>
          <w:tab w:val="right" w:pos="8504"/>
        </w:tabs>
        <w:spacing w:after="0" w:line="240" w:lineRule="auto"/>
        <w:jc w:val="right"/>
        <w:rPr>
          <w:rFonts w:ascii="Arial" w:hAnsi="Arial"/>
          <w:sz w:val="24"/>
          <w:szCs w:val="24"/>
        </w:rPr>
      </w:pPr>
      <w:r w:rsidRPr="00432F09">
        <w:rPr>
          <w:rFonts w:ascii="Arial" w:hAnsi="Arial"/>
          <w:sz w:val="24"/>
          <w:szCs w:val="24"/>
        </w:rPr>
        <w:tab/>
        <w:t xml:space="preserve"> </w:t>
      </w:r>
      <w:r w:rsidR="00D42F33" w:rsidRPr="00432F09">
        <w:rPr>
          <w:rFonts w:ascii="Arial" w:hAnsi="Arial"/>
          <w:sz w:val="24"/>
          <w:szCs w:val="24"/>
        </w:rPr>
        <w:t xml:space="preserve"> S</w:t>
      </w:r>
      <w:r w:rsidRPr="00432F09">
        <w:rPr>
          <w:rFonts w:ascii="Arial" w:hAnsi="Arial"/>
          <w:sz w:val="24"/>
          <w:szCs w:val="24"/>
        </w:rPr>
        <w:t>ouza, Marta Marques</w:t>
      </w:r>
    </w:p>
    <w:p w:rsidR="00895BC7" w:rsidRDefault="00A237FA" w:rsidP="00432F09">
      <w:pPr>
        <w:tabs>
          <w:tab w:val="left" w:pos="5670"/>
          <w:tab w:val="left" w:pos="5812"/>
          <w:tab w:val="right" w:pos="8504"/>
        </w:tabs>
        <w:spacing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hyperlink r:id="rId8" w:history="1">
        <w:r>
          <w:rPr>
            <w:rStyle w:val="Hyperlink"/>
            <w:rFonts w:ascii="Arial" w:hAnsi="Arial"/>
            <w:sz w:val="24"/>
          </w:rPr>
          <w:t>veraregina53@gmail.com</w:t>
        </w:r>
      </w:hyperlink>
    </w:p>
    <w:p w:rsidR="00895BC7" w:rsidRPr="00432F09" w:rsidRDefault="00A237FA" w:rsidP="00432F09">
      <w:pPr>
        <w:tabs>
          <w:tab w:val="left" w:pos="3585"/>
          <w:tab w:val="left" w:pos="3990"/>
          <w:tab w:val="left" w:pos="4185"/>
          <w:tab w:val="left" w:pos="5085"/>
          <w:tab w:val="left" w:pos="5670"/>
        </w:tabs>
        <w:spacing w:after="0"/>
        <w:jc w:val="right"/>
        <w:rPr>
          <w:rFonts w:ascii="Arial" w:hAnsi="Arial"/>
          <w:sz w:val="24"/>
          <w:szCs w:val="24"/>
        </w:rPr>
      </w:pPr>
      <w:r w:rsidRPr="00432F09">
        <w:rPr>
          <w:rFonts w:ascii="Arial" w:hAnsi="Arial"/>
          <w:sz w:val="24"/>
          <w:szCs w:val="24"/>
        </w:rPr>
        <w:t>Evento: Congresso de Iniciação Científica</w:t>
      </w:r>
    </w:p>
    <w:p w:rsidR="00895BC7" w:rsidRDefault="00A237FA" w:rsidP="00432F09">
      <w:pPr>
        <w:tabs>
          <w:tab w:val="left" w:pos="3585"/>
          <w:tab w:val="left" w:pos="3990"/>
          <w:tab w:val="left" w:pos="4185"/>
          <w:tab w:val="left" w:pos="5085"/>
          <w:tab w:val="left" w:pos="5670"/>
        </w:tabs>
        <w:spacing w:after="0"/>
        <w:jc w:val="right"/>
        <w:rPr>
          <w:rFonts w:ascii="Arial" w:hAnsi="Arial"/>
          <w:color w:val="000000"/>
          <w:sz w:val="24"/>
          <w:szCs w:val="24"/>
        </w:rPr>
      </w:pPr>
      <w:r w:rsidRPr="00432F09">
        <w:rPr>
          <w:rFonts w:ascii="Arial" w:hAnsi="Arial"/>
          <w:sz w:val="24"/>
          <w:szCs w:val="24"/>
        </w:rPr>
        <w:t>Área do Conhecimen</w:t>
      </w:r>
      <w:r w:rsidRPr="00432F09">
        <w:rPr>
          <w:rFonts w:ascii="Arial" w:hAnsi="Arial"/>
          <w:color w:val="000000"/>
          <w:sz w:val="24"/>
          <w:szCs w:val="24"/>
        </w:rPr>
        <w:t xml:space="preserve">to: </w:t>
      </w:r>
      <w:r w:rsidR="00F96338" w:rsidRPr="00432F09">
        <w:rPr>
          <w:rFonts w:ascii="Arial" w:hAnsi="Arial"/>
          <w:color w:val="000000"/>
          <w:sz w:val="24"/>
          <w:szCs w:val="24"/>
        </w:rPr>
        <w:t>Fisiologia</w:t>
      </w:r>
      <w:r w:rsidRPr="00432F09">
        <w:rPr>
          <w:rFonts w:ascii="Arial" w:hAnsi="Arial"/>
          <w:color w:val="000000"/>
          <w:sz w:val="24"/>
          <w:szCs w:val="24"/>
        </w:rPr>
        <w:t xml:space="preserve"> Comparada</w:t>
      </w:r>
    </w:p>
    <w:p w:rsidR="00432F09" w:rsidRPr="00432F09" w:rsidRDefault="00432F09" w:rsidP="00432F09">
      <w:pPr>
        <w:tabs>
          <w:tab w:val="left" w:pos="3585"/>
          <w:tab w:val="left" w:pos="3990"/>
          <w:tab w:val="left" w:pos="4185"/>
          <w:tab w:val="left" w:pos="5085"/>
          <w:tab w:val="left" w:pos="5670"/>
        </w:tabs>
        <w:spacing w:after="0"/>
        <w:jc w:val="right"/>
        <w:rPr>
          <w:rFonts w:ascii="Arial" w:hAnsi="Arial"/>
          <w:sz w:val="24"/>
          <w:szCs w:val="24"/>
        </w:rPr>
      </w:pPr>
    </w:p>
    <w:p w:rsidR="00895BC7" w:rsidRDefault="00A237FA">
      <w:pPr>
        <w:tabs>
          <w:tab w:val="left" w:pos="5670"/>
          <w:tab w:val="right" w:pos="8504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Palavras-chave</w:t>
      </w:r>
      <w:r>
        <w:rPr>
          <w:rFonts w:ascii="Arial" w:hAnsi="Arial"/>
          <w:i/>
          <w:sz w:val="24"/>
        </w:rPr>
        <w:t xml:space="preserve">: </w:t>
      </w:r>
      <w:r w:rsidR="00F96338" w:rsidRPr="00F96338">
        <w:rPr>
          <w:rFonts w:ascii="Arial" w:hAnsi="Arial"/>
          <w:sz w:val="24"/>
        </w:rPr>
        <w:t>Molusco</w:t>
      </w:r>
      <w:r w:rsidRPr="00F96338">
        <w:rPr>
          <w:rFonts w:ascii="Arial" w:hAnsi="Arial"/>
          <w:sz w:val="24"/>
        </w:rPr>
        <w:t>,</w:t>
      </w:r>
      <w:r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sz w:val="24"/>
        </w:rPr>
        <w:t>citotoxicidade do cobre, MXR.</w:t>
      </w:r>
    </w:p>
    <w:p w:rsidR="00895BC7" w:rsidRDefault="00A237FA">
      <w:pPr>
        <w:pStyle w:val="PargrafodaLista"/>
        <w:numPr>
          <w:ilvl w:val="0"/>
          <w:numId w:val="1"/>
        </w:numPr>
        <w:tabs>
          <w:tab w:val="left" w:pos="5670"/>
          <w:tab w:val="right" w:pos="8504"/>
        </w:tabs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Introdução</w:t>
      </w:r>
    </w:p>
    <w:p w:rsidR="00895BC7" w:rsidRPr="00432F09" w:rsidRDefault="00A237FA">
      <w:pPr>
        <w:spacing w:line="240" w:lineRule="auto"/>
        <w:ind w:firstLine="708"/>
        <w:jc w:val="both"/>
        <w:rPr>
          <w:rFonts w:ascii="Arial" w:hAnsi="Arial"/>
          <w:sz w:val="24"/>
          <w:szCs w:val="24"/>
        </w:rPr>
      </w:pPr>
      <w:r w:rsidRPr="00763B6D">
        <w:rPr>
          <w:rFonts w:ascii="Arial" w:hAnsi="Arial"/>
          <w:sz w:val="20"/>
          <w:szCs w:val="20"/>
        </w:rPr>
        <w:t xml:space="preserve">Embora as mudanças ambientais naturalmente aconteçam, as ações antrópicas vêm </w:t>
      </w:r>
      <w:r w:rsidRPr="00432F09">
        <w:rPr>
          <w:rFonts w:ascii="Arial" w:hAnsi="Arial"/>
          <w:sz w:val="24"/>
          <w:szCs w:val="24"/>
        </w:rPr>
        <w:t>acelerando esses processos e com eles os ambientes estão mais expostos a contaminantes, metais como o cobre (Cu) faz</w:t>
      </w:r>
      <w:r w:rsidR="00F96338" w:rsidRPr="00432F09">
        <w:rPr>
          <w:rFonts w:ascii="Arial" w:hAnsi="Arial"/>
          <w:sz w:val="24"/>
          <w:szCs w:val="24"/>
        </w:rPr>
        <w:t>em</w:t>
      </w:r>
      <w:r w:rsidRPr="00432F09">
        <w:rPr>
          <w:rFonts w:ascii="Arial" w:hAnsi="Arial"/>
          <w:sz w:val="24"/>
          <w:szCs w:val="24"/>
        </w:rPr>
        <w:t xml:space="preserve"> parte desses xenobióticos. Os metais em forma iônica podem interagir com sistemas biológicos em nível</w:t>
      </w:r>
      <w:r w:rsidR="00F96338" w:rsidRPr="00432F09">
        <w:rPr>
          <w:rFonts w:ascii="Arial" w:hAnsi="Arial"/>
          <w:sz w:val="24"/>
          <w:szCs w:val="24"/>
        </w:rPr>
        <w:t xml:space="preserve"> celular e nas células como as </w:t>
      </w:r>
      <w:r w:rsidRPr="00432F09">
        <w:rPr>
          <w:rFonts w:ascii="Arial" w:hAnsi="Arial"/>
          <w:sz w:val="24"/>
          <w:szCs w:val="24"/>
        </w:rPr>
        <w:t>branquiais exercer ação tóxica</w:t>
      </w:r>
      <w:r w:rsidR="00412D2A" w:rsidRPr="00432F09">
        <w:rPr>
          <w:rFonts w:ascii="Arial" w:hAnsi="Arial"/>
          <w:sz w:val="24"/>
          <w:szCs w:val="24"/>
        </w:rPr>
        <w:t xml:space="preserve"> (REDDY e BHAGYALAKSHMI, 1994</w:t>
      </w:r>
      <w:r w:rsidR="00412D2A" w:rsidRPr="00432F09">
        <w:rPr>
          <w:rFonts w:ascii="Arial" w:hAnsi="Arial"/>
          <w:b/>
          <w:sz w:val="24"/>
          <w:szCs w:val="24"/>
        </w:rPr>
        <w:t>).</w:t>
      </w:r>
      <w:r w:rsidRPr="00432F09">
        <w:rPr>
          <w:rFonts w:ascii="Arial" w:hAnsi="Arial"/>
          <w:sz w:val="24"/>
          <w:szCs w:val="24"/>
        </w:rPr>
        <w:t xml:space="preserve"> No </w:t>
      </w:r>
      <w:r w:rsidRPr="00432F09">
        <w:rPr>
          <w:rFonts w:ascii="Arial" w:hAnsi="Arial"/>
          <w:i/>
          <w:sz w:val="24"/>
          <w:szCs w:val="24"/>
        </w:rPr>
        <w:t>Mesodesma mactroides</w:t>
      </w:r>
      <w:r w:rsidRPr="00432F09">
        <w:rPr>
          <w:rFonts w:ascii="Arial" w:hAnsi="Arial"/>
          <w:sz w:val="24"/>
          <w:szCs w:val="24"/>
        </w:rPr>
        <w:t xml:space="preserve">, molusco, bivalve filtrador pode ter como ação mudança na viabilidade celular por interação </w:t>
      </w:r>
      <w:r w:rsidR="00F96338" w:rsidRPr="00432F09">
        <w:rPr>
          <w:rFonts w:ascii="Arial" w:hAnsi="Arial"/>
          <w:sz w:val="24"/>
          <w:szCs w:val="24"/>
        </w:rPr>
        <w:t>d</w:t>
      </w:r>
      <w:r w:rsidRPr="00432F09">
        <w:rPr>
          <w:rFonts w:ascii="Arial" w:hAnsi="Arial"/>
          <w:sz w:val="24"/>
          <w:szCs w:val="24"/>
        </w:rPr>
        <w:t xml:space="preserve">esse metal e </w:t>
      </w:r>
      <w:r w:rsidR="00F96338" w:rsidRPr="00432F09">
        <w:rPr>
          <w:rFonts w:ascii="Arial" w:hAnsi="Arial"/>
          <w:sz w:val="24"/>
          <w:szCs w:val="24"/>
        </w:rPr>
        <w:t xml:space="preserve">com </w:t>
      </w:r>
      <w:r w:rsidRPr="00432F09">
        <w:rPr>
          <w:rFonts w:ascii="Arial" w:hAnsi="Arial"/>
          <w:sz w:val="24"/>
          <w:szCs w:val="24"/>
        </w:rPr>
        <w:t>os sítios fisiológicos</w:t>
      </w:r>
      <w:r w:rsidR="00F96338" w:rsidRPr="00432F09">
        <w:rPr>
          <w:rFonts w:ascii="Arial" w:hAnsi="Arial"/>
          <w:sz w:val="24"/>
          <w:szCs w:val="24"/>
        </w:rPr>
        <w:t>,</w:t>
      </w:r>
      <w:r w:rsidRPr="00432F09">
        <w:rPr>
          <w:rFonts w:ascii="Arial" w:hAnsi="Arial"/>
          <w:sz w:val="24"/>
          <w:szCs w:val="24"/>
        </w:rPr>
        <w:t xml:space="preserve"> compromete</w:t>
      </w:r>
      <w:r w:rsidR="00F96338" w:rsidRPr="00432F09">
        <w:rPr>
          <w:rFonts w:ascii="Arial" w:hAnsi="Arial"/>
          <w:sz w:val="24"/>
          <w:szCs w:val="24"/>
        </w:rPr>
        <w:t>ndo</w:t>
      </w:r>
      <w:r w:rsidRPr="00432F09">
        <w:rPr>
          <w:rFonts w:ascii="Arial" w:hAnsi="Arial"/>
          <w:sz w:val="24"/>
          <w:szCs w:val="24"/>
        </w:rPr>
        <w:t xml:space="preserve"> a homeostasia do organis</w:t>
      </w:r>
      <w:r w:rsidRPr="00432F09">
        <w:rPr>
          <w:rFonts w:ascii="Arial" w:hAnsi="Arial"/>
          <w:color w:val="000000"/>
          <w:sz w:val="24"/>
          <w:szCs w:val="24"/>
        </w:rPr>
        <w:t xml:space="preserve">mo. </w:t>
      </w:r>
      <w:r w:rsidR="003D4645" w:rsidRPr="00432F09">
        <w:rPr>
          <w:rFonts w:ascii="Arial" w:hAnsi="Arial"/>
          <w:color w:val="000000"/>
          <w:sz w:val="24"/>
          <w:szCs w:val="24"/>
        </w:rPr>
        <w:t>S</w:t>
      </w:r>
      <w:r w:rsidRPr="00432F09">
        <w:rPr>
          <w:rFonts w:ascii="Arial" w:hAnsi="Arial"/>
          <w:sz w:val="24"/>
          <w:szCs w:val="24"/>
        </w:rPr>
        <w:t xml:space="preserve">endo assim esse trabalho teve por objetivo, determinar a atividade da proteína de efluxo de xenobióticos durante a exposição das células ao cobre em salinidade reduzida, como também quando expostas a choque </w:t>
      </w:r>
      <w:r w:rsidR="00F96338" w:rsidRPr="00432F09">
        <w:rPr>
          <w:rFonts w:ascii="Arial" w:hAnsi="Arial"/>
          <w:sz w:val="24"/>
          <w:szCs w:val="24"/>
        </w:rPr>
        <w:t>hiposmótico</w:t>
      </w:r>
      <w:r w:rsidRPr="00432F09">
        <w:rPr>
          <w:rFonts w:ascii="Arial" w:hAnsi="Arial"/>
          <w:sz w:val="24"/>
          <w:szCs w:val="24"/>
        </w:rPr>
        <w:t xml:space="preserve"> </w:t>
      </w:r>
      <w:r w:rsidR="00F96338" w:rsidRPr="00432F09">
        <w:rPr>
          <w:rFonts w:ascii="Arial" w:hAnsi="Arial"/>
          <w:sz w:val="24"/>
          <w:szCs w:val="24"/>
        </w:rPr>
        <w:t>(</w:t>
      </w:r>
      <w:r w:rsidRPr="00432F09">
        <w:rPr>
          <w:rFonts w:ascii="Arial" w:hAnsi="Arial"/>
          <w:sz w:val="24"/>
          <w:szCs w:val="24"/>
        </w:rPr>
        <w:t>30 para 20</w:t>
      </w:r>
      <w:r w:rsidR="00F96338" w:rsidRPr="00432F09">
        <w:rPr>
          <w:rFonts w:ascii="Arial" w:hAnsi="Arial"/>
          <w:sz w:val="24"/>
          <w:szCs w:val="24"/>
        </w:rPr>
        <w:t>) e relacioná-la com a citotoxicidade do metal.</w:t>
      </w:r>
    </w:p>
    <w:p w:rsidR="00895BC7" w:rsidRPr="00432F09" w:rsidRDefault="00A237FA" w:rsidP="00F96338">
      <w:pPr>
        <w:pStyle w:val="PargrafodaLista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/>
          <w:sz w:val="24"/>
          <w:szCs w:val="24"/>
        </w:rPr>
      </w:pPr>
      <w:r w:rsidRPr="00432F09">
        <w:rPr>
          <w:rFonts w:ascii="Arial" w:hAnsi="Arial"/>
          <w:sz w:val="24"/>
          <w:szCs w:val="24"/>
        </w:rPr>
        <w:t>Referencial Teórico</w:t>
      </w:r>
    </w:p>
    <w:p w:rsidR="003D4645" w:rsidRPr="00432F09" w:rsidRDefault="003D4645" w:rsidP="00F96338">
      <w:pPr>
        <w:pStyle w:val="PargrafodaLista"/>
        <w:spacing w:line="240" w:lineRule="auto"/>
        <w:ind w:left="0"/>
        <w:jc w:val="both"/>
        <w:rPr>
          <w:rFonts w:ascii="Arial" w:hAnsi="Arial"/>
          <w:sz w:val="24"/>
          <w:szCs w:val="24"/>
        </w:rPr>
      </w:pPr>
      <w:r w:rsidRPr="00432F09">
        <w:rPr>
          <w:rFonts w:ascii="Arial" w:hAnsi="Arial"/>
          <w:sz w:val="24"/>
          <w:szCs w:val="24"/>
        </w:rPr>
        <w:t xml:space="preserve">Uma </w:t>
      </w:r>
      <w:r w:rsidR="00F96338" w:rsidRPr="00432F09">
        <w:rPr>
          <w:rFonts w:ascii="Arial" w:hAnsi="Arial"/>
          <w:sz w:val="24"/>
          <w:szCs w:val="24"/>
        </w:rPr>
        <w:t xml:space="preserve">possível </w:t>
      </w:r>
      <w:r w:rsidRPr="00432F09">
        <w:rPr>
          <w:rFonts w:ascii="Arial" w:hAnsi="Arial"/>
          <w:sz w:val="24"/>
          <w:szCs w:val="24"/>
        </w:rPr>
        <w:t>resposta à exposição a agentes tóxicos pode ser a indução de mecanismos de defesa celular, também conhecidos como mecanismos de resistência a múltiplos xenobióticos (MXR), descritos em organismos aquáticos por (K</w:t>
      </w:r>
      <w:r w:rsidR="00D42F33" w:rsidRPr="00432F09">
        <w:rPr>
          <w:rFonts w:ascii="Arial" w:hAnsi="Arial"/>
          <w:sz w:val="24"/>
          <w:szCs w:val="24"/>
        </w:rPr>
        <w:t>URELEC</w:t>
      </w:r>
      <w:r w:rsidR="00F96338" w:rsidRPr="00432F09">
        <w:rPr>
          <w:rFonts w:ascii="Arial" w:hAnsi="Arial"/>
          <w:sz w:val="24"/>
          <w:szCs w:val="24"/>
        </w:rPr>
        <w:t xml:space="preserve">, </w:t>
      </w:r>
      <w:r w:rsidRPr="00432F09">
        <w:rPr>
          <w:rFonts w:ascii="Arial" w:hAnsi="Arial"/>
          <w:sz w:val="24"/>
          <w:szCs w:val="24"/>
        </w:rPr>
        <w:t>1992).</w:t>
      </w:r>
    </w:p>
    <w:p w:rsidR="002C6BBC" w:rsidRPr="00432F09" w:rsidRDefault="002C6BBC" w:rsidP="00F96338">
      <w:pPr>
        <w:pStyle w:val="PargrafodaLista"/>
        <w:spacing w:line="240" w:lineRule="auto"/>
        <w:ind w:left="0"/>
        <w:jc w:val="both"/>
        <w:rPr>
          <w:rFonts w:ascii="Arial" w:hAnsi="Arial"/>
          <w:sz w:val="24"/>
          <w:szCs w:val="24"/>
        </w:rPr>
      </w:pPr>
    </w:p>
    <w:p w:rsidR="00754143" w:rsidRPr="00432F09" w:rsidRDefault="00A237FA" w:rsidP="00F96338">
      <w:pPr>
        <w:pStyle w:val="PargrafodaLista"/>
        <w:numPr>
          <w:ilvl w:val="0"/>
          <w:numId w:val="1"/>
        </w:numPr>
        <w:tabs>
          <w:tab w:val="left" w:pos="709"/>
          <w:tab w:val="left" w:pos="2805"/>
        </w:tabs>
        <w:spacing w:line="360" w:lineRule="auto"/>
        <w:ind w:left="0" w:firstLine="0"/>
        <w:jc w:val="both"/>
        <w:rPr>
          <w:rFonts w:ascii="Arial" w:hAnsi="Arial"/>
          <w:sz w:val="24"/>
          <w:szCs w:val="24"/>
        </w:rPr>
      </w:pPr>
      <w:r w:rsidRPr="00432F09">
        <w:rPr>
          <w:rFonts w:ascii="Arial" w:hAnsi="Arial"/>
          <w:sz w:val="24"/>
          <w:szCs w:val="24"/>
        </w:rPr>
        <w:t>Materiais e Métodos</w:t>
      </w:r>
    </w:p>
    <w:p w:rsidR="00895BC7" w:rsidRPr="00432F09" w:rsidRDefault="00A237FA" w:rsidP="00F96338">
      <w:pPr>
        <w:pStyle w:val="PargrafodaLista"/>
        <w:tabs>
          <w:tab w:val="left" w:pos="975"/>
          <w:tab w:val="left" w:pos="2805"/>
        </w:tabs>
        <w:spacing w:line="240" w:lineRule="auto"/>
        <w:ind w:left="0"/>
        <w:jc w:val="both"/>
        <w:rPr>
          <w:rFonts w:ascii="Arial" w:hAnsi="Arial"/>
          <w:sz w:val="24"/>
          <w:szCs w:val="24"/>
        </w:rPr>
      </w:pPr>
      <w:r w:rsidRPr="00432F09">
        <w:rPr>
          <w:rFonts w:ascii="Arial" w:hAnsi="Arial"/>
          <w:sz w:val="24"/>
          <w:szCs w:val="24"/>
        </w:rPr>
        <w:t xml:space="preserve">Foram utilizados 10 mariscos adultos neste experimento, </w:t>
      </w:r>
      <w:r w:rsidRPr="00432F09">
        <w:rPr>
          <w:rFonts w:ascii="Arial" w:hAnsi="Arial"/>
          <w:color w:val="000000"/>
          <w:sz w:val="24"/>
          <w:szCs w:val="24"/>
        </w:rPr>
        <w:t>crioanestesiados</w:t>
      </w:r>
      <w:r w:rsidRPr="00432F09">
        <w:rPr>
          <w:rFonts w:ascii="Arial" w:hAnsi="Arial"/>
          <w:sz w:val="24"/>
          <w:szCs w:val="24"/>
        </w:rPr>
        <w:t xml:space="preserve">, as brânquias isoladas e as células por dissociação mecânica em tampão fosfato livre de </w:t>
      </w:r>
      <w:r w:rsidRPr="00432F09">
        <w:rPr>
          <w:rFonts w:ascii="Arial" w:hAnsi="Arial"/>
          <w:color w:val="000000"/>
          <w:sz w:val="24"/>
          <w:szCs w:val="24"/>
        </w:rPr>
        <w:t>Cálcio. Para a análise da citotoxicidade e da capacidade de defesa as células fora expostas à salinidade 20 associada ao</w:t>
      </w:r>
      <w:r w:rsidRPr="00432F09">
        <w:rPr>
          <w:rFonts w:ascii="Arial" w:hAnsi="Arial"/>
          <w:sz w:val="24"/>
          <w:szCs w:val="24"/>
        </w:rPr>
        <w:t xml:space="preserve"> cobre 1, 5, 10µM. </w:t>
      </w:r>
      <w:r w:rsidRPr="00432F09">
        <w:rPr>
          <w:rFonts w:ascii="Arial" w:hAnsi="Arial"/>
          <w:color w:val="000000"/>
          <w:sz w:val="24"/>
          <w:szCs w:val="24"/>
        </w:rPr>
        <w:t>A citotoxicidade foi avaliada pelo método de exclusão do azul de tripa</w:t>
      </w:r>
      <w:r w:rsidR="00927249" w:rsidRPr="00432F09">
        <w:rPr>
          <w:rFonts w:ascii="Arial" w:hAnsi="Arial"/>
          <w:color w:val="000000"/>
          <w:sz w:val="24"/>
          <w:szCs w:val="24"/>
        </w:rPr>
        <w:t>n</w:t>
      </w:r>
      <w:r w:rsidRPr="00432F09">
        <w:rPr>
          <w:rFonts w:ascii="Arial" w:hAnsi="Arial"/>
          <w:color w:val="000000"/>
          <w:sz w:val="24"/>
          <w:szCs w:val="24"/>
        </w:rPr>
        <w:t xml:space="preserve">, e a capacidade de defesa pelo acúmulo de rodamina (substrato de proteínas ABC). </w:t>
      </w:r>
      <w:r w:rsidR="00F96338" w:rsidRPr="00432F09">
        <w:rPr>
          <w:rFonts w:ascii="Arial" w:hAnsi="Arial"/>
          <w:color w:val="000000"/>
          <w:sz w:val="24"/>
          <w:szCs w:val="24"/>
        </w:rPr>
        <w:t>A</w:t>
      </w:r>
      <w:r w:rsidRPr="00432F09">
        <w:rPr>
          <w:rFonts w:ascii="Arial" w:hAnsi="Arial"/>
          <w:color w:val="000000"/>
          <w:sz w:val="24"/>
          <w:szCs w:val="24"/>
        </w:rPr>
        <w:t xml:space="preserve"> variação de fluorescência foi a</w:t>
      </w:r>
      <w:r w:rsidRPr="00432F09">
        <w:rPr>
          <w:rFonts w:ascii="Arial" w:hAnsi="Arial"/>
          <w:sz w:val="24"/>
          <w:szCs w:val="24"/>
        </w:rPr>
        <w:t>nalisada por fluorímetro e</w:t>
      </w:r>
      <w:r w:rsidR="00F96338" w:rsidRPr="00432F09">
        <w:rPr>
          <w:rFonts w:ascii="Arial" w:hAnsi="Arial"/>
          <w:sz w:val="24"/>
          <w:szCs w:val="24"/>
        </w:rPr>
        <w:t xml:space="preserve"> por</w:t>
      </w:r>
      <w:r w:rsidRPr="00432F09">
        <w:rPr>
          <w:rFonts w:ascii="Arial" w:hAnsi="Arial"/>
          <w:sz w:val="24"/>
          <w:szCs w:val="24"/>
        </w:rPr>
        <w:t xml:space="preserve"> imagens.</w:t>
      </w:r>
      <w:r w:rsidR="00F96338" w:rsidRPr="00432F09">
        <w:rPr>
          <w:rFonts w:ascii="Arial" w:hAnsi="Arial"/>
          <w:sz w:val="24"/>
          <w:szCs w:val="24"/>
        </w:rPr>
        <w:t xml:space="preserve"> </w:t>
      </w:r>
      <w:r w:rsidRPr="00432F09">
        <w:rPr>
          <w:rFonts w:ascii="Arial" w:hAnsi="Arial"/>
          <w:sz w:val="24"/>
          <w:szCs w:val="24"/>
        </w:rPr>
        <w:t>Todas as var</w:t>
      </w:r>
      <w:r w:rsidR="00F96338" w:rsidRPr="00432F09">
        <w:rPr>
          <w:rFonts w:ascii="Arial" w:hAnsi="Arial"/>
          <w:sz w:val="24"/>
          <w:szCs w:val="24"/>
        </w:rPr>
        <w:t>i</w:t>
      </w:r>
      <w:r w:rsidRPr="00432F09">
        <w:rPr>
          <w:rFonts w:ascii="Arial" w:hAnsi="Arial"/>
          <w:sz w:val="24"/>
          <w:szCs w:val="24"/>
        </w:rPr>
        <w:t>áveis foram analisadas por meio de t-Student e ANOVA (an</w:t>
      </w:r>
      <w:r w:rsidR="00F96338" w:rsidRPr="00432F09">
        <w:rPr>
          <w:rFonts w:ascii="Arial" w:hAnsi="Arial"/>
          <w:sz w:val="24"/>
          <w:szCs w:val="24"/>
        </w:rPr>
        <w:t>alise de variância de um fator)</w:t>
      </w:r>
      <w:r w:rsidRPr="00432F09">
        <w:rPr>
          <w:rFonts w:ascii="Arial" w:hAnsi="Arial"/>
          <w:sz w:val="24"/>
          <w:szCs w:val="24"/>
        </w:rPr>
        <w:t>. As comparações das médias através do teste de Tuckey post hoc.</w:t>
      </w:r>
    </w:p>
    <w:p w:rsidR="00895BC7" w:rsidRPr="00432F09" w:rsidRDefault="00895BC7">
      <w:pPr>
        <w:pStyle w:val="PargrafodaLista"/>
        <w:spacing w:line="240" w:lineRule="auto"/>
        <w:jc w:val="both"/>
        <w:rPr>
          <w:rFonts w:ascii="Arial" w:hAnsi="Arial"/>
          <w:sz w:val="24"/>
          <w:szCs w:val="24"/>
        </w:rPr>
      </w:pPr>
    </w:p>
    <w:p w:rsidR="00895BC7" w:rsidRPr="00432F09" w:rsidRDefault="00A237FA" w:rsidP="00F96338">
      <w:pPr>
        <w:pStyle w:val="PargrafodaLista"/>
        <w:numPr>
          <w:ilvl w:val="0"/>
          <w:numId w:val="1"/>
        </w:numPr>
        <w:spacing w:line="360" w:lineRule="auto"/>
        <w:ind w:hanging="720"/>
        <w:jc w:val="both"/>
        <w:rPr>
          <w:rFonts w:ascii="Arial" w:hAnsi="Arial"/>
          <w:sz w:val="24"/>
          <w:szCs w:val="24"/>
        </w:rPr>
      </w:pPr>
      <w:r w:rsidRPr="00432F09">
        <w:rPr>
          <w:rFonts w:ascii="Arial" w:hAnsi="Arial"/>
          <w:sz w:val="24"/>
          <w:szCs w:val="24"/>
        </w:rPr>
        <w:t>Resultados e Discussão</w:t>
      </w:r>
    </w:p>
    <w:p w:rsidR="00CA3B26" w:rsidRPr="00432F09" w:rsidRDefault="00931BDD" w:rsidP="00931BDD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432F09">
        <w:rPr>
          <w:rFonts w:ascii="Arial" w:hAnsi="Arial" w:cs="Arial"/>
          <w:sz w:val="24"/>
          <w:szCs w:val="24"/>
        </w:rPr>
        <w:lastRenderedPageBreak/>
        <w:t xml:space="preserve">As células branquiais do </w:t>
      </w:r>
      <w:r w:rsidRPr="00432F09">
        <w:rPr>
          <w:rFonts w:ascii="Arial" w:hAnsi="Arial" w:cs="Arial"/>
          <w:i/>
          <w:sz w:val="24"/>
          <w:szCs w:val="24"/>
        </w:rPr>
        <w:t>Mesodesma mactroides</w:t>
      </w:r>
      <w:r w:rsidRPr="00432F09">
        <w:rPr>
          <w:rFonts w:ascii="Arial" w:hAnsi="Arial" w:cs="Arial"/>
          <w:sz w:val="24"/>
          <w:szCs w:val="24"/>
        </w:rPr>
        <w:t xml:space="preserve"> expostas à salinidade 20 associada ao cobre nas concentrações (1, 5 e 10µM), apresentaram uma redução d</w:t>
      </w:r>
      <w:r w:rsidR="0096070B" w:rsidRPr="00432F09">
        <w:rPr>
          <w:rFonts w:ascii="Arial" w:hAnsi="Arial" w:cs="Arial"/>
          <w:sz w:val="24"/>
          <w:szCs w:val="24"/>
        </w:rPr>
        <w:t>a viabilidade em</w:t>
      </w:r>
      <w:r w:rsidR="00C1230C" w:rsidRPr="00432F09">
        <w:rPr>
          <w:rFonts w:ascii="Arial" w:hAnsi="Arial" w:cs="Arial"/>
          <w:sz w:val="24"/>
          <w:szCs w:val="24"/>
        </w:rPr>
        <w:t xml:space="preserve"> </w:t>
      </w:r>
      <w:r w:rsidRPr="00432F09">
        <w:rPr>
          <w:rFonts w:ascii="Arial" w:hAnsi="Arial" w:cs="Arial"/>
          <w:sz w:val="24"/>
          <w:szCs w:val="24"/>
        </w:rPr>
        <w:t>9,06% apenas quando expostas à concentração 10µM, quando comparadas ao controle.</w:t>
      </w:r>
    </w:p>
    <w:p w:rsidR="00CA3B26" w:rsidRPr="00432F09" w:rsidRDefault="00CA3B26" w:rsidP="00CA3B26">
      <w:pPr>
        <w:rPr>
          <w:sz w:val="24"/>
          <w:szCs w:val="24"/>
        </w:rPr>
      </w:pPr>
      <w:r w:rsidRPr="00432F09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14BF37" wp14:editId="0FF86611">
                <wp:simplePos x="0" y="0"/>
                <wp:positionH relativeFrom="column">
                  <wp:posOffset>148107</wp:posOffset>
                </wp:positionH>
                <wp:positionV relativeFrom="paragraph">
                  <wp:posOffset>1597716</wp:posOffset>
                </wp:positionV>
                <wp:extent cx="2272352" cy="586854"/>
                <wp:effectExtent l="0" t="0" r="13970" b="22860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2352" cy="5868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B26" w:rsidRDefault="00CA3B26" w:rsidP="00432F09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0               Cu 1              Cu 5       Cu 10</w:t>
                            </w:r>
                          </w:p>
                          <w:p w:rsidR="00CA3B26" w:rsidRDefault="00CA3B26" w:rsidP="00432F09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Tratamentos (µM)                     </w:t>
                            </w:r>
                          </w:p>
                          <w:p w:rsidR="00CA3B26" w:rsidRPr="00301283" w:rsidRDefault="00CA3B26" w:rsidP="00CA3B2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2" o:spid="_x0000_s1026" type="#_x0000_t202" style="position:absolute;margin-left:11.65pt;margin-top:125.8pt;width:178.95pt;height:4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" fillcolor="white [3201]" strokecolor="white [3212]" strokeweight=".5pt">
                <v:textbox>
                  <w:txbxContent>
                    <w:p w:rsidR="00CA3B26" w:rsidRDefault="00CA3B26" w:rsidP="00432F09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0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              Cu 1              Cu 5       Cu 10</w:t>
                      </w:r>
                    </w:p>
                    <w:p w:rsidR="00CA3B26" w:rsidRDefault="00CA3B26" w:rsidP="00432F09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Tratamentos (µM)                     </w:t>
                      </w:r>
                    </w:p>
                    <w:p w:rsidR="00CA3B26" w:rsidRPr="00301283" w:rsidRDefault="00CA3B26" w:rsidP="00CA3B2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432F09">
        <w:rPr>
          <w:noProof/>
          <w:sz w:val="24"/>
          <w:szCs w:val="24"/>
          <w:lang w:eastAsia="pt-BR"/>
        </w:rPr>
        <w:drawing>
          <wp:inline distT="0" distB="0" distL="0" distR="0" wp14:anchorId="5142C1F5" wp14:editId="0917C0F4">
            <wp:extent cx="2333768" cy="1715819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5455"/>
                    <a:stretch/>
                  </pic:blipFill>
                  <pic:spPr bwMode="auto">
                    <a:xfrm>
                      <a:off x="0" y="0"/>
                      <a:ext cx="2340381" cy="17206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0EBA" w:rsidRPr="00432F09" w:rsidRDefault="00150EBA" w:rsidP="00432F0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7681B" w:rsidRDefault="00F96338" w:rsidP="00432F0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32F09">
        <w:rPr>
          <w:rFonts w:ascii="Arial" w:hAnsi="Arial" w:cs="Arial"/>
          <w:sz w:val="24"/>
          <w:szCs w:val="24"/>
        </w:rPr>
        <w:t>Segundo a análise da fluorescência por imagens, a</w:t>
      </w:r>
      <w:r w:rsidR="00AF0A4D" w:rsidRPr="00432F09">
        <w:rPr>
          <w:rFonts w:ascii="Arial" w:hAnsi="Arial" w:cs="Arial"/>
          <w:sz w:val="24"/>
          <w:szCs w:val="24"/>
        </w:rPr>
        <w:t xml:space="preserve">s células branquiais do </w:t>
      </w:r>
      <w:r w:rsidR="00AF0A4D" w:rsidRPr="00432F09">
        <w:rPr>
          <w:rFonts w:ascii="Arial" w:hAnsi="Arial" w:cs="Arial"/>
          <w:i/>
          <w:sz w:val="24"/>
          <w:szCs w:val="24"/>
        </w:rPr>
        <w:t>M. mactroides</w:t>
      </w:r>
      <w:r w:rsidR="00AF0A4D" w:rsidRPr="00432F09">
        <w:rPr>
          <w:rFonts w:ascii="Arial" w:hAnsi="Arial" w:cs="Arial"/>
          <w:sz w:val="24"/>
          <w:szCs w:val="24"/>
        </w:rPr>
        <w:t xml:space="preserve"> submetidas ao cobre e salinidade reduzida apresentaram um aumento de 284,84% de células fluorescentes no tratamento de cobre 10µM em relação ao controle. Indicando</w:t>
      </w:r>
      <w:r w:rsidR="00754143" w:rsidRPr="00432F09">
        <w:rPr>
          <w:rFonts w:ascii="Arial" w:hAnsi="Arial" w:cs="Arial"/>
          <w:sz w:val="24"/>
          <w:szCs w:val="24"/>
        </w:rPr>
        <w:t xml:space="preserve"> </w:t>
      </w:r>
      <w:r w:rsidR="00AF0A4D" w:rsidRPr="00432F09">
        <w:rPr>
          <w:rFonts w:ascii="Arial" w:hAnsi="Arial" w:cs="Arial"/>
          <w:sz w:val="24"/>
          <w:szCs w:val="24"/>
        </w:rPr>
        <w:t>redução na at</w:t>
      </w:r>
      <w:r w:rsidR="00432F09">
        <w:rPr>
          <w:rFonts w:ascii="Arial" w:hAnsi="Arial" w:cs="Arial"/>
          <w:sz w:val="24"/>
          <w:szCs w:val="24"/>
        </w:rPr>
        <w:t xml:space="preserve">ividade das proteínas de efluxo </w:t>
      </w:r>
      <w:r w:rsidR="00AF0A4D" w:rsidRPr="00432F09">
        <w:rPr>
          <w:rFonts w:ascii="Arial" w:hAnsi="Arial" w:cs="Arial"/>
          <w:sz w:val="24"/>
          <w:szCs w:val="24"/>
        </w:rPr>
        <w:t>de xenobióticos</w:t>
      </w:r>
      <w:r w:rsidR="00931BDD" w:rsidRPr="00432F09">
        <w:rPr>
          <w:rFonts w:ascii="Arial" w:hAnsi="Arial" w:cs="Arial"/>
          <w:sz w:val="24"/>
          <w:szCs w:val="24"/>
        </w:rPr>
        <w:t>.</w:t>
      </w:r>
    </w:p>
    <w:p w:rsidR="00432F09" w:rsidRPr="00432F09" w:rsidRDefault="00432F09" w:rsidP="00432F0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95BC7" w:rsidRPr="00432F09" w:rsidRDefault="00AC56F6" w:rsidP="00227B3C">
      <w:pPr>
        <w:spacing w:line="360" w:lineRule="auto"/>
        <w:jc w:val="center"/>
        <w:rPr>
          <w:sz w:val="24"/>
          <w:szCs w:val="24"/>
        </w:rPr>
      </w:pPr>
      <w:r w:rsidRPr="00432F09"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664384" behindDoc="0" locked="0" layoutInCell="1" allowOverlap="1" wp14:anchorId="5D58AB32" wp14:editId="2DAC877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46960" cy="1781810"/>
            <wp:effectExtent l="0" t="0" r="0" b="8890"/>
            <wp:wrapSquare wrapText="bothSides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6326" cy="17812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5BC7" w:rsidRPr="00432F09" w:rsidRDefault="00895BC7" w:rsidP="00227B3C">
      <w:pPr>
        <w:pStyle w:val="PargrafodaLista"/>
        <w:tabs>
          <w:tab w:val="left" w:pos="708"/>
          <w:tab w:val="left" w:pos="1416"/>
          <w:tab w:val="left" w:pos="2124"/>
          <w:tab w:val="left" w:pos="2832"/>
          <w:tab w:val="left" w:pos="5130"/>
          <w:tab w:val="left" w:pos="5820"/>
        </w:tabs>
        <w:spacing w:line="360" w:lineRule="auto"/>
        <w:jc w:val="center"/>
        <w:rPr>
          <w:rFonts w:ascii="Arial" w:hAnsi="Arial"/>
          <w:sz w:val="24"/>
          <w:szCs w:val="24"/>
        </w:rPr>
      </w:pPr>
    </w:p>
    <w:p w:rsidR="00895BC7" w:rsidRPr="00432F09" w:rsidRDefault="00895BC7" w:rsidP="00227B3C">
      <w:pPr>
        <w:tabs>
          <w:tab w:val="left" w:pos="915"/>
          <w:tab w:val="left" w:pos="1653"/>
        </w:tabs>
        <w:jc w:val="center"/>
        <w:rPr>
          <w:rFonts w:ascii="Arial" w:hAnsi="Arial"/>
          <w:sz w:val="24"/>
          <w:szCs w:val="24"/>
          <w:lang w:eastAsia="pt-BR"/>
        </w:rPr>
      </w:pPr>
    </w:p>
    <w:p w:rsidR="00895BC7" w:rsidRPr="00432F09" w:rsidRDefault="00895BC7" w:rsidP="00227B3C">
      <w:pPr>
        <w:tabs>
          <w:tab w:val="left" w:pos="915"/>
          <w:tab w:val="left" w:pos="1653"/>
        </w:tabs>
        <w:jc w:val="center"/>
        <w:rPr>
          <w:rFonts w:ascii="Arial" w:hAnsi="Arial"/>
          <w:sz w:val="24"/>
          <w:szCs w:val="24"/>
          <w:lang w:eastAsia="pt-BR"/>
        </w:rPr>
      </w:pPr>
    </w:p>
    <w:p w:rsidR="00895BC7" w:rsidRPr="00432F09" w:rsidRDefault="00432F09" w:rsidP="00227B3C">
      <w:pPr>
        <w:tabs>
          <w:tab w:val="left" w:pos="1653"/>
        </w:tabs>
        <w:jc w:val="center"/>
        <w:rPr>
          <w:rFonts w:ascii="Arial" w:hAnsi="Arial"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87E158" wp14:editId="64DCDBC9">
                <wp:simplePos x="0" y="0"/>
                <wp:positionH relativeFrom="column">
                  <wp:posOffset>-1710690</wp:posOffset>
                </wp:positionH>
                <wp:positionV relativeFrom="paragraph">
                  <wp:posOffset>288290</wp:posOffset>
                </wp:positionV>
                <wp:extent cx="1828800" cy="1828800"/>
                <wp:effectExtent l="0" t="0" r="0" b="2540"/>
                <wp:wrapSquare wrapText="bothSides"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32F09" w:rsidRPr="00432F09" w:rsidRDefault="00432F09" w:rsidP="00FE41D8">
                            <w:pPr>
                              <w:tabs>
                                <w:tab w:val="left" w:pos="975"/>
                                <w:tab w:val="left" w:pos="486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432F0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Tratamento (</w:t>
                            </w:r>
                            <w:r w:rsidRPr="00432F0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µ</w:t>
                            </w:r>
                            <w:r w:rsidRPr="00432F0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" o:spid="_x0000_s1027" type="#_x0000_t202" style="position:absolute;left:0;text-align:left;margin-left:-134.7pt;margin-top:22.7pt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" filled="f" stroked="f" strokeweight=".5pt">
                <v:fill o:detectmouseclick="t"/>
                <v:textbox style="mso-fit-shape-to-text:t">
                  <w:txbxContent>
                    <w:p w:rsidR="00432F09" w:rsidRPr="00432F09" w:rsidRDefault="00432F09" w:rsidP="00FE41D8">
                      <w:pPr>
                        <w:tabs>
                          <w:tab w:val="left" w:pos="975"/>
                          <w:tab w:val="left" w:pos="486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432F09">
                        <w:rPr>
                          <w:rFonts w:ascii="Arial" w:hAnsi="Arial"/>
                          <w:sz w:val="16"/>
                          <w:szCs w:val="16"/>
                        </w:rPr>
                        <w:t>Tratamento (</w:t>
                      </w:r>
                      <w:r w:rsidRPr="00432F09">
                        <w:rPr>
                          <w:rFonts w:ascii="Arial" w:hAnsi="Arial" w:cs="Arial"/>
                          <w:sz w:val="16"/>
                          <w:szCs w:val="16"/>
                        </w:rPr>
                        <w:t>µ</w:t>
                      </w:r>
                      <w:r w:rsidRPr="00432F09">
                        <w:rPr>
                          <w:rFonts w:ascii="Arial" w:hAnsi="Arial"/>
                          <w:sz w:val="16"/>
                          <w:szCs w:val="16"/>
                        </w:rPr>
                        <w:t>M)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95BC7" w:rsidRPr="00432F09" w:rsidRDefault="00895BC7" w:rsidP="00227B3C">
      <w:pPr>
        <w:tabs>
          <w:tab w:val="left" w:pos="1560"/>
          <w:tab w:val="left" w:pos="2040"/>
          <w:tab w:val="left" w:pos="5745"/>
        </w:tabs>
        <w:jc w:val="center"/>
        <w:rPr>
          <w:rFonts w:ascii="Arial" w:hAnsi="Arial"/>
          <w:sz w:val="24"/>
          <w:szCs w:val="24"/>
        </w:rPr>
      </w:pPr>
    </w:p>
    <w:p w:rsidR="00AC56F6" w:rsidRPr="00432F09" w:rsidRDefault="00227B3C" w:rsidP="00432F09">
      <w:pPr>
        <w:pStyle w:val="PargrafodaLista"/>
        <w:numPr>
          <w:ilvl w:val="0"/>
          <w:numId w:val="1"/>
        </w:numPr>
        <w:spacing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32F09">
        <w:rPr>
          <w:rFonts w:ascii="Arial" w:hAnsi="Arial"/>
          <w:sz w:val="24"/>
          <w:szCs w:val="24"/>
        </w:rPr>
        <w:t xml:space="preserve"> </w:t>
      </w:r>
      <w:r w:rsidR="00A237FA" w:rsidRPr="00432F09">
        <w:rPr>
          <w:rFonts w:ascii="Arial" w:hAnsi="Arial"/>
          <w:sz w:val="24"/>
          <w:szCs w:val="24"/>
        </w:rPr>
        <w:t>Considerações Finais</w:t>
      </w:r>
    </w:p>
    <w:p w:rsidR="00763B6D" w:rsidRDefault="00763B6D" w:rsidP="00432F09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32F09">
        <w:rPr>
          <w:rFonts w:ascii="Arial" w:hAnsi="Arial" w:cs="Arial"/>
          <w:sz w:val="24"/>
          <w:szCs w:val="24"/>
        </w:rPr>
        <w:t xml:space="preserve">Com base nas análises da capacidade de defesa das células, a partir das imagens, a concentração de 10µM foi onde havia enorme inibição de defesa (284,84%). Quanto </w:t>
      </w:r>
      <w:r w:rsidR="00D42F33" w:rsidRPr="00432F09">
        <w:rPr>
          <w:rFonts w:ascii="Arial" w:hAnsi="Arial" w:cs="Arial"/>
          <w:sz w:val="24"/>
          <w:szCs w:val="24"/>
        </w:rPr>
        <w:t>à</w:t>
      </w:r>
      <w:r w:rsidRPr="00432F09">
        <w:rPr>
          <w:rFonts w:ascii="Arial" w:hAnsi="Arial" w:cs="Arial"/>
          <w:sz w:val="24"/>
          <w:szCs w:val="24"/>
        </w:rPr>
        <w:t xml:space="preserve"> viabilidade das células expostas ao cobre, também apresentou citotoxicidade em relação ao controle. Indicando, assim, que a citotoxicidade do cobre ocorreu na concentração em que as células branquiais do molusco </w:t>
      </w:r>
      <w:r w:rsidRPr="00432F09">
        <w:rPr>
          <w:rFonts w:ascii="Arial" w:hAnsi="Arial" w:cs="Arial"/>
          <w:i/>
          <w:sz w:val="24"/>
          <w:szCs w:val="24"/>
        </w:rPr>
        <w:t>M. mactroides</w:t>
      </w:r>
      <w:r w:rsidRPr="00432F09">
        <w:rPr>
          <w:rFonts w:ascii="Arial" w:hAnsi="Arial" w:cs="Arial"/>
          <w:sz w:val="24"/>
          <w:szCs w:val="24"/>
        </w:rPr>
        <w:t xml:space="preserve"> não conseguiram se defender. </w:t>
      </w:r>
    </w:p>
    <w:p w:rsidR="00432F09" w:rsidRPr="00432F09" w:rsidRDefault="00432F09" w:rsidP="00432F09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C56F6" w:rsidRPr="00432F09" w:rsidRDefault="00A237FA" w:rsidP="00AC56F6">
      <w:pPr>
        <w:pStyle w:val="PargrafodaLista"/>
        <w:numPr>
          <w:ilvl w:val="0"/>
          <w:numId w:val="1"/>
        </w:numPr>
        <w:spacing w:line="240" w:lineRule="auto"/>
        <w:ind w:left="0" w:firstLine="0"/>
        <w:jc w:val="both"/>
        <w:rPr>
          <w:rFonts w:ascii="Arial" w:hAnsi="Arial"/>
          <w:sz w:val="24"/>
          <w:szCs w:val="24"/>
          <w:lang w:val="en-US"/>
        </w:rPr>
      </w:pPr>
      <w:r w:rsidRPr="00432F09">
        <w:rPr>
          <w:rFonts w:ascii="Arial" w:hAnsi="Arial"/>
          <w:sz w:val="24"/>
          <w:szCs w:val="24"/>
        </w:rPr>
        <w:t>Refer</w:t>
      </w:r>
      <w:r w:rsidR="002C6BBC" w:rsidRPr="00432F09">
        <w:rPr>
          <w:rFonts w:ascii="Arial" w:hAnsi="Arial"/>
          <w:sz w:val="24"/>
          <w:szCs w:val="24"/>
        </w:rPr>
        <w:t>ê</w:t>
      </w:r>
      <w:r w:rsidRPr="00432F09">
        <w:rPr>
          <w:rFonts w:ascii="Arial" w:hAnsi="Arial"/>
          <w:sz w:val="24"/>
          <w:szCs w:val="24"/>
        </w:rPr>
        <w:t>ncias:</w:t>
      </w:r>
    </w:p>
    <w:p w:rsidR="00AC56F6" w:rsidRPr="00432F09" w:rsidRDefault="00D42F33" w:rsidP="00432F09">
      <w:pPr>
        <w:pStyle w:val="PargrafodaLista"/>
        <w:spacing w:after="0" w:line="240" w:lineRule="auto"/>
        <w:ind w:left="0"/>
        <w:jc w:val="both"/>
        <w:rPr>
          <w:rFonts w:ascii="Arial" w:hAnsi="Arial"/>
          <w:sz w:val="24"/>
          <w:szCs w:val="24"/>
          <w:lang w:val="en-US"/>
        </w:rPr>
      </w:pPr>
      <w:r w:rsidRPr="00432F09">
        <w:rPr>
          <w:rFonts w:ascii="Arial" w:hAnsi="Arial"/>
          <w:sz w:val="24"/>
          <w:szCs w:val="24"/>
          <w:lang w:val="en-US"/>
        </w:rPr>
        <w:t>KURELEC, B.</w:t>
      </w:r>
      <w:r w:rsidR="00A237FA" w:rsidRPr="00432F09">
        <w:rPr>
          <w:rFonts w:ascii="Arial" w:hAnsi="Arial"/>
          <w:sz w:val="24"/>
          <w:szCs w:val="24"/>
          <w:lang w:val="en-US"/>
        </w:rPr>
        <w:t xml:space="preserve"> The multixenobiotic resistance mechanism in aquatic organism. </w:t>
      </w:r>
      <w:r w:rsidR="00A237FA" w:rsidRPr="00432F09">
        <w:rPr>
          <w:rFonts w:ascii="Arial" w:hAnsi="Arial"/>
          <w:b/>
          <w:sz w:val="24"/>
          <w:szCs w:val="24"/>
          <w:lang w:val="en-US"/>
        </w:rPr>
        <w:t>Crit. Rev. Toxicology</w:t>
      </w:r>
      <w:r w:rsidR="00A237FA" w:rsidRPr="00432F09">
        <w:rPr>
          <w:rFonts w:ascii="Arial" w:hAnsi="Arial"/>
          <w:sz w:val="24"/>
          <w:szCs w:val="24"/>
          <w:lang w:val="en-US"/>
        </w:rPr>
        <w:t>, 22</w:t>
      </w:r>
      <w:r w:rsidRPr="00432F09">
        <w:rPr>
          <w:rFonts w:ascii="Arial" w:hAnsi="Arial"/>
          <w:sz w:val="24"/>
          <w:szCs w:val="24"/>
          <w:lang w:val="en-US"/>
        </w:rPr>
        <w:t>, p.</w:t>
      </w:r>
      <w:r w:rsidR="00A237FA" w:rsidRPr="00432F09">
        <w:rPr>
          <w:rFonts w:ascii="Arial" w:hAnsi="Arial"/>
          <w:sz w:val="24"/>
          <w:szCs w:val="24"/>
          <w:lang w:val="en-US"/>
        </w:rPr>
        <w:t xml:space="preserve"> 23-43</w:t>
      </w:r>
      <w:r w:rsidRPr="00432F09">
        <w:rPr>
          <w:rFonts w:ascii="Arial" w:hAnsi="Arial"/>
          <w:sz w:val="24"/>
          <w:szCs w:val="24"/>
          <w:lang w:val="en-US"/>
        </w:rPr>
        <w:t>. 1992</w:t>
      </w:r>
      <w:r w:rsidR="00A237FA" w:rsidRPr="00432F09">
        <w:rPr>
          <w:rFonts w:ascii="Arial" w:hAnsi="Arial"/>
          <w:sz w:val="24"/>
          <w:szCs w:val="24"/>
          <w:lang w:val="en-US"/>
        </w:rPr>
        <w:t>.</w:t>
      </w:r>
    </w:p>
    <w:p w:rsidR="00895BC7" w:rsidRPr="00432F09" w:rsidRDefault="00D42F33" w:rsidP="00432F09">
      <w:pPr>
        <w:pStyle w:val="Padro"/>
        <w:spacing w:line="240" w:lineRule="auto"/>
        <w:jc w:val="both"/>
        <w:rPr>
          <w:rFonts w:ascii="Arial" w:hAnsi="Arial"/>
          <w:lang w:val="en-US"/>
        </w:rPr>
      </w:pPr>
      <w:r w:rsidRPr="00432F09">
        <w:rPr>
          <w:rFonts w:ascii="Arial" w:hAnsi="Arial"/>
          <w:lang w:val="en-US"/>
        </w:rPr>
        <w:t xml:space="preserve">REDDY, P.S, BHAGYALAKSHMI, A. </w:t>
      </w:r>
      <w:r w:rsidR="00A237FA" w:rsidRPr="00432F09">
        <w:rPr>
          <w:rFonts w:ascii="Arial" w:hAnsi="Arial"/>
          <w:lang w:val="en-US"/>
        </w:rPr>
        <w:t xml:space="preserve">Lipid peroxidation in the gill and hepatopâncreas of Oziotilphusa senex Fabricius, during cadmium and copper exposure. </w:t>
      </w:r>
      <w:r w:rsidR="00A237FA" w:rsidRPr="00432F09">
        <w:rPr>
          <w:rFonts w:ascii="Arial" w:hAnsi="Arial"/>
          <w:b/>
          <w:lang w:val="en-US"/>
        </w:rPr>
        <w:t>Bul Environ.Contam. Toxicol.</w:t>
      </w:r>
      <w:r w:rsidR="00A237FA" w:rsidRPr="00432F09">
        <w:rPr>
          <w:rFonts w:ascii="Arial" w:hAnsi="Arial"/>
          <w:lang w:val="en-US"/>
        </w:rPr>
        <w:t xml:space="preserve"> 53</w:t>
      </w:r>
      <w:r w:rsidRPr="00432F09">
        <w:rPr>
          <w:rFonts w:ascii="Arial" w:hAnsi="Arial"/>
          <w:lang w:val="en-US"/>
        </w:rPr>
        <w:t>, p.</w:t>
      </w:r>
      <w:r w:rsidR="00A237FA" w:rsidRPr="00432F09">
        <w:rPr>
          <w:rFonts w:ascii="Arial" w:hAnsi="Arial"/>
          <w:lang w:val="en-US"/>
        </w:rPr>
        <w:t xml:space="preserve"> 704-710.</w:t>
      </w:r>
      <w:r w:rsidRPr="00432F09">
        <w:rPr>
          <w:rFonts w:ascii="Arial" w:hAnsi="Arial"/>
          <w:lang w:val="en-US"/>
        </w:rPr>
        <w:t xml:space="preserve"> 1994.</w:t>
      </w:r>
    </w:p>
    <w:sectPr w:rsidR="00895BC7" w:rsidRPr="00432F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C41" w:rsidRDefault="003E3C41" w:rsidP="00063DCB">
      <w:pPr>
        <w:spacing w:after="0" w:line="240" w:lineRule="auto"/>
      </w:pPr>
      <w:r>
        <w:separator/>
      </w:r>
    </w:p>
  </w:endnote>
  <w:endnote w:type="continuationSeparator" w:id="0">
    <w:p w:rsidR="003E3C41" w:rsidRDefault="003E3C41" w:rsidP="00063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C41" w:rsidRDefault="003E3C41" w:rsidP="00063DCB">
      <w:pPr>
        <w:spacing w:after="0" w:line="240" w:lineRule="auto"/>
      </w:pPr>
      <w:r>
        <w:separator/>
      </w:r>
    </w:p>
  </w:footnote>
  <w:footnote w:type="continuationSeparator" w:id="0">
    <w:p w:rsidR="003E3C41" w:rsidRDefault="003E3C41" w:rsidP="00063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1441B"/>
    <w:multiLevelType w:val="hybridMultilevel"/>
    <w:tmpl w:val="37041222"/>
    <w:lvl w:ilvl="0" w:tplc="E59AE11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3545DD4">
      <w:start w:val="1"/>
      <w:numFmt w:val="lowerLetter"/>
      <w:lvlText w:val="%2."/>
      <w:lvlJc w:val="left"/>
      <w:pPr>
        <w:ind w:left="1440" w:hanging="360"/>
      </w:pPr>
    </w:lvl>
    <w:lvl w:ilvl="2" w:tplc="F5B01EB6">
      <w:start w:val="1"/>
      <w:numFmt w:val="lowerRoman"/>
      <w:lvlText w:val="%3."/>
      <w:lvlJc w:val="right"/>
      <w:pPr>
        <w:ind w:left="2160" w:hanging="180"/>
      </w:pPr>
    </w:lvl>
    <w:lvl w:ilvl="3" w:tplc="6B762F0C">
      <w:start w:val="1"/>
      <w:numFmt w:val="decimal"/>
      <w:lvlText w:val="%4."/>
      <w:lvlJc w:val="left"/>
      <w:pPr>
        <w:ind w:left="2880" w:hanging="360"/>
      </w:pPr>
    </w:lvl>
    <w:lvl w:ilvl="4" w:tplc="56CAF50A">
      <w:start w:val="1"/>
      <w:numFmt w:val="lowerLetter"/>
      <w:lvlText w:val="%5."/>
      <w:lvlJc w:val="left"/>
      <w:pPr>
        <w:ind w:left="3600" w:hanging="360"/>
      </w:pPr>
    </w:lvl>
    <w:lvl w:ilvl="5" w:tplc="3D00BB8C">
      <w:start w:val="1"/>
      <w:numFmt w:val="lowerRoman"/>
      <w:lvlText w:val="%6."/>
      <w:lvlJc w:val="right"/>
      <w:pPr>
        <w:ind w:left="4320" w:hanging="180"/>
      </w:pPr>
    </w:lvl>
    <w:lvl w:ilvl="6" w:tplc="99049942">
      <w:start w:val="1"/>
      <w:numFmt w:val="decimal"/>
      <w:lvlText w:val="%7."/>
      <w:lvlJc w:val="left"/>
      <w:pPr>
        <w:ind w:left="5040" w:hanging="360"/>
      </w:pPr>
    </w:lvl>
    <w:lvl w:ilvl="7" w:tplc="0F58E342">
      <w:start w:val="1"/>
      <w:numFmt w:val="lowerLetter"/>
      <w:lvlText w:val="%8."/>
      <w:lvlJc w:val="left"/>
      <w:pPr>
        <w:ind w:left="5760" w:hanging="360"/>
      </w:pPr>
    </w:lvl>
    <w:lvl w:ilvl="8" w:tplc="078E1BD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6B"/>
    <w:rsid w:val="00000235"/>
    <w:rsid w:val="00005B2D"/>
    <w:rsid w:val="00022D28"/>
    <w:rsid w:val="00023EFE"/>
    <w:rsid w:val="00037156"/>
    <w:rsid w:val="00063DCB"/>
    <w:rsid w:val="000F23D7"/>
    <w:rsid w:val="00150EBA"/>
    <w:rsid w:val="001A0EE2"/>
    <w:rsid w:val="001A4CBE"/>
    <w:rsid w:val="00227B3C"/>
    <w:rsid w:val="00277CEC"/>
    <w:rsid w:val="00287165"/>
    <w:rsid w:val="002A5694"/>
    <w:rsid w:val="002C6BBC"/>
    <w:rsid w:val="00312618"/>
    <w:rsid w:val="00334268"/>
    <w:rsid w:val="003B7CF4"/>
    <w:rsid w:val="003D4645"/>
    <w:rsid w:val="003E3C41"/>
    <w:rsid w:val="003F3CA1"/>
    <w:rsid w:val="00412D2A"/>
    <w:rsid w:val="00432F09"/>
    <w:rsid w:val="004432DE"/>
    <w:rsid w:val="00454AD9"/>
    <w:rsid w:val="004A4AED"/>
    <w:rsid w:val="004E69E0"/>
    <w:rsid w:val="00525691"/>
    <w:rsid w:val="0054381E"/>
    <w:rsid w:val="00587F3F"/>
    <w:rsid w:val="005900BA"/>
    <w:rsid w:val="005E67A1"/>
    <w:rsid w:val="00601A71"/>
    <w:rsid w:val="006366CE"/>
    <w:rsid w:val="00637FD5"/>
    <w:rsid w:val="00652050"/>
    <w:rsid w:val="006675CF"/>
    <w:rsid w:val="006D06FD"/>
    <w:rsid w:val="007123CB"/>
    <w:rsid w:val="00750E23"/>
    <w:rsid w:val="00754143"/>
    <w:rsid w:val="00763B6D"/>
    <w:rsid w:val="00791A62"/>
    <w:rsid w:val="007A7CF4"/>
    <w:rsid w:val="007D3CDB"/>
    <w:rsid w:val="00895BC7"/>
    <w:rsid w:val="008B2CE4"/>
    <w:rsid w:val="00927249"/>
    <w:rsid w:val="00931BDD"/>
    <w:rsid w:val="0096070B"/>
    <w:rsid w:val="0097681B"/>
    <w:rsid w:val="009D4535"/>
    <w:rsid w:val="00A06569"/>
    <w:rsid w:val="00A0694D"/>
    <w:rsid w:val="00A21E39"/>
    <w:rsid w:val="00A237FA"/>
    <w:rsid w:val="00A609B8"/>
    <w:rsid w:val="00AA516B"/>
    <w:rsid w:val="00AC1063"/>
    <w:rsid w:val="00AC56F6"/>
    <w:rsid w:val="00AF0A4D"/>
    <w:rsid w:val="00AF4D1B"/>
    <w:rsid w:val="00AF6956"/>
    <w:rsid w:val="00BC1A4D"/>
    <w:rsid w:val="00BD6106"/>
    <w:rsid w:val="00C1230C"/>
    <w:rsid w:val="00C3783E"/>
    <w:rsid w:val="00C73C8C"/>
    <w:rsid w:val="00CA3B26"/>
    <w:rsid w:val="00CB14FE"/>
    <w:rsid w:val="00CC2FE1"/>
    <w:rsid w:val="00CF02D5"/>
    <w:rsid w:val="00D42F33"/>
    <w:rsid w:val="00D47D60"/>
    <w:rsid w:val="00DC2377"/>
    <w:rsid w:val="00DC4E80"/>
    <w:rsid w:val="00E36CAB"/>
    <w:rsid w:val="00E67724"/>
    <w:rsid w:val="00EA0AFC"/>
    <w:rsid w:val="00ED35A2"/>
    <w:rsid w:val="00F96338"/>
    <w:rsid w:val="00FA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A516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A516B"/>
    <w:pPr>
      <w:ind w:left="720"/>
      <w:contextualSpacing/>
    </w:pPr>
  </w:style>
  <w:style w:type="paragraph" w:customStyle="1" w:styleId="Padro">
    <w:name w:val="Padrão"/>
    <w:rsid w:val="00652050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4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453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63D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3DCB"/>
  </w:style>
  <w:style w:type="paragraph" w:styleId="Rodap">
    <w:name w:val="footer"/>
    <w:basedOn w:val="Normal"/>
    <w:link w:val="RodapChar"/>
    <w:uiPriority w:val="99"/>
    <w:unhideWhenUsed/>
    <w:rsid w:val="00063D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3D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A516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A516B"/>
    <w:pPr>
      <w:ind w:left="720"/>
      <w:contextualSpacing/>
    </w:pPr>
  </w:style>
  <w:style w:type="paragraph" w:customStyle="1" w:styleId="Padro">
    <w:name w:val="Padrão"/>
    <w:rsid w:val="00652050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4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453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63D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3DCB"/>
  </w:style>
  <w:style w:type="paragraph" w:styleId="Rodap">
    <w:name w:val="footer"/>
    <w:basedOn w:val="Normal"/>
    <w:link w:val="RodapChar"/>
    <w:uiPriority w:val="99"/>
    <w:unhideWhenUsed/>
    <w:rsid w:val="00063D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3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aregina53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2</cp:revision>
  <dcterms:created xsi:type="dcterms:W3CDTF">2014-09-03T03:16:00Z</dcterms:created>
  <dcterms:modified xsi:type="dcterms:W3CDTF">2014-09-03T03:16:00Z</dcterms:modified>
</cp:coreProperties>
</file>