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DIVERSIDADE FOSSILÍFERA DE TUBARÕES NA COSTA DO RIO GRANDE DO SUL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PORTIS, Renata Antunes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MACHADO, Davi Vasconvellos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LOEWENSTEIN, Helena da Rocha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DINIZ, Débora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DENTZIEN-DIAS, Paula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portisrenata@gmail.com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Evento: </w:t>
      </w:r>
      <w:r w:rsidRPr="00000000" w:rsidR="00000000" w:rsidDel="00000000">
        <w:rPr>
          <w:sz w:val="16"/>
          <w:rtl w:val="0"/>
        </w:rPr>
        <w:t xml:space="preserve">  </w:t>
      </w:r>
      <w:r w:rsidRPr="00000000" w:rsidR="00000000" w:rsidDel="00000000">
        <w:rPr>
          <w:b w:val="1"/>
          <w:rtl w:val="0"/>
        </w:rPr>
        <w:t xml:space="preserve">Congresso de Iniciação Científica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Área do conhecimento: Oceanografia Geológica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rtl w:val="0"/>
        </w:rPr>
        <w:t xml:space="preserve">Palavras-chave: </w:t>
      </w:r>
      <w:r w:rsidRPr="00000000" w:rsidR="00000000" w:rsidDel="00000000">
        <w:rPr>
          <w:rtl w:val="0"/>
        </w:rPr>
        <w:t xml:space="preserve">Paleontologia; Selaphimorpha; Quaternário gaúcho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rtl w:val="0"/>
        </w:rPr>
        <w:t xml:space="preserve">1 INTRODUÇÃO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 classe Chondrichthyes, que inclui os peixes cartilaginosos, é dividida em duas subclasses, Elasmobranchii (tubarões, raias) e Holocephalii (quimeras), ambas representadas atualmente por espécies derivadas de ancestrais viventes no Mesozóico (Rondina, 2002). Os Elasmobranchii, são representados por Bathoidea (raias) e Selaphimorpha (tubarões). Dentes e escamas constituem os vestígios fósseis, (</w:t>
      </w:r>
      <w:r w:rsidRPr="00000000" w:rsidR="00000000" w:rsidDel="00000000">
        <w:rPr>
          <w:rtl w:val="0"/>
        </w:rPr>
        <w:t xml:space="preserve">Orvig, 1951 apud Wosnick, 2012</w:t>
      </w:r>
      <w:r w:rsidRPr="00000000" w:rsidR="00000000" w:rsidDel="00000000">
        <w:rPr>
          <w:rtl w:val="0"/>
        </w:rPr>
        <w:t xml:space="preserve">), de difícil preservação.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Este trabalho tem por objetivo descrever os fósseis de Elasmobranchii tombados no Laboratório de Geologia e Paleontologia (LGP) da Universidade Federal do Rio Grande (FURG).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2 REFERENCIAL TEÓRICO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8"/>
        <w:contextualSpacing w:val="0"/>
      </w:pPr>
      <w:r w:rsidRPr="00000000" w:rsidR="00000000" w:rsidDel="00000000">
        <w:rPr>
          <w:rtl w:val="0"/>
        </w:rPr>
        <w:t xml:space="preserve">A ocorrência abundante de fósseis de tubarões em diferentes ambientes e estratos, e com grande diversidade taxonômica, fez destes peixes uma importante fonte de informação para o entendimento de aspectos paleoecológicos/paleoambientais (</w:t>
      </w:r>
      <w:r w:rsidRPr="00000000" w:rsidR="00000000" w:rsidDel="00000000">
        <w:rPr>
          <w:rtl w:val="0"/>
        </w:rPr>
        <w:t xml:space="preserve">Costa, </w:t>
      </w:r>
      <w:r w:rsidRPr="00000000" w:rsidR="00000000" w:rsidDel="00000000">
        <w:rPr>
          <w:rtl w:val="0"/>
        </w:rPr>
        <w:t xml:space="preserve">2005</w:t>
      </w:r>
      <w:r w:rsidRPr="00000000" w:rsidR="00000000" w:rsidDel="00000000">
        <w:rPr>
          <w:rtl w:val="0"/>
        </w:rPr>
        <w:t xml:space="preserve">).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  <w:t xml:space="preserve">       Um grande número de fósseis é encontrado na linha de praia atual, como resultado do retrabalhamento de depósitos na plataforma continental adjacente, pelas flutuações do nível médio do mar no Holoceno médio e por processos hidrodinâmicos atuais, tais como deriva litorânea e ondas de tempestades (Figueiredo, 1975; Correa, 1983, 1990 apud Buchman e Rincon, 1997).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rtl w:val="0"/>
        </w:rPr>
        <w:t xml:space="preserve">3 MATERIAIS E MÉTODOS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Os fósseis utilizados para este trabalho foram dentes de Selaphimorpha coletados ao longo da Planície Costeira do Rio Grande do Sul (PCRS). Estes fósseis foram encontrados isolados e rolados na linha de praia após tempestades.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Dois métodos de coletas foram empregados, o primeiro se baseia na busca visual de dentes ao longo da praia e o segundo, na coleta de sedimentos praiais em pontos aleatórios, e, em laboratório, a busca de dentes com a ajuda de pincel.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  <w:t xml:space="preserve">       O material de estudo encontra-se no LGP, sob a sigla LGP/C de 0001 até 0139. Parte do material foi tombado por lotes (16), contendo de 2 a 48 exemplares.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rtl w:val="0"/>
        </w:rPr>
        <w:t xml:space="preserve">4 RESULTADOS e DISCUSSÃO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Foram identificados 248 dentes de Selaphimorpha (Tabela 1), sendo a maioria identificada em nível de espécie.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  <w:t xml:space="preserve">Os dentes fossilizados de </w:t>
      </w:r>
      <w:r w:rsidRPr="00000000" w:rsidR="00000000" w:rsidDel="00000000">
        <w:rPr>
          <w:i w:val="1"/>
          <w:rtl w:val="0"/>
        </w:rPr>
        <w:t xml:space="preserve">Carcharodon carcharias</w:t>
      </w:r>
      <w:r w:rsidRPr="00000000" w:rsidR="00000000" w:rsidDel="00000000">
        <w:rPr>
          <w:rtl w:val="0"/>
        </w:rPr>
        <w:t xml:space="preserve"> são relativamente frequentes nas areias da porção sul do estado do Rio Grande do Sul. Hoje, porém, não há registro seguro de sua ocorrência em águas brasileiras (</w:t>
      </w:r>
      <w:r w:rsidRPr="00000000" w:rsidR="00000000" w:rsidDel="00000000">
        <w:rPr>
          <w:rtl w:val="0"/>
        </w:rPr>
        <w:t xml:space="preserve">Buchmann &amp; Rincón Filho 1997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  <w:t xml:space="preserve">    Os dentes fósseis de </w:t>
      </w:r>
      <w:r w:rsidRPr="00000000" w:rsidR="00000000" w:rsidDel="00000000">
        <w:rPr>
          <w:i w:val="1"/>
          <w:rtl w:val="0"/>
        </w:rPr>
        <w:t xml:space="preserve">Galeocerdo curvier</w:t>
      </w:r>
      <w:r w:rsidRPr="00000000" w:rsidR="00000000" w:rsidDel="00000000">
        <w:rPr>
          <w:rtl w:val="0"/>
        </w:rPr>
        <w:t xml:space="preserve"> são aparentemente raros na Bacia Pelotas. Esta espécie apresenta larga distribuição na zona tropical e temperada mais quente. Atualmente, o "tubarão tigre" é raro na costa gaúcha (</w:t>
      </w:r>
      <w:r w:rsidRPr="00000000" w:rsidR="00000000" w:rsidDel="00000000">
        <w:rPr>
          <w:rtl w:val="0"/>
        </w:rPr>
        <w:t xml:space="preserve">Buchmann &amp; Rincón Filho 1997</w:t>
      </w:r>
      <w:r w:rsidRPr="00000000" w:rsidR="00000000" w:rsidDel="00000000">
        <w:rPr>
          <w:rtl w:val="0"/>
        </w:rPr>
        <w:t xml:space="preserve">).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  <w:t xml:space="preserve">         Grande parte dos dentes que chegaram até a linha de praia estava muito rolada e com o esmalte desgastado pela abrasão, mas ainda puderam ser identificados por sua morfologia. Em menor quantidade foram observados dentes bem preservados e serrilhados, ainda com raiz e esmalte em boas condições.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Tabela 1: Lista de espécies de tubarões identificadas a partir de seus dentes e respectivas quantidades encontradas no acervo do LCP.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985.0" w:type="dxa"/>
        <w:jc w:val="left"/>
        <w:tblInd w:w="40.0" w:type="dxa"/>
        <w:tblBorders>
          <w:top w:color="000000" w:space="0" w:val="single" w:sz="4"/>
        </w:tblBorders>
        <w:tblLayout w:type="fixed"/>
        <w:tblLook w:val="0600"/>
      </w:tblPr>
      <w:tblGrid>
        <w:gridCol w:w="2190"/>
        <w:gridCol w:w="2130"/>
        <w:gridCol w:w="2460"/>
        <w:gridCol w:w="2205"/>
        <w:tblGridChange w:id="0">
          <w:tblGrid>
            <w:gridCol w:w="2190"/>
            <w:gridCol w:w="2130"/>
            <w:gridCol w:w="2460"/>
            <w:gridCol w:w="220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val="single" w:sz="4"/>
              <w:bottom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  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 Espécies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bottom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Número de dentes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bottom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Espécies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bottom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Número de dentes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Isurus sp.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83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Carcharodon leucas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Carcharodon carcharias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67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Carcharinus longimanus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Sphyrna sp.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Carcharinus isodon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Carcharias taurus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Carcharinus sp.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Lamna nasus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Notorynchus sp.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Odontapsis noronhai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Carcharinus falciformes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Carcharinus limbatus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Carcharinus signatus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val="nil" w:sz="0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Galeocerdo cuvier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nil" w:sz="0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nil" w:sz="0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Rhizoprionodon sp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nil" w:sz="0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bottom w:color="000000" w:space="0" w:val="single" w:sz="4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Não identificados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bottom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53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bottom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bottom w:color="000000" w:space="0" w:val="single" w:sz="4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5 CONSIDERAÇÕES FINAIS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Apesar dos fósseis de peixes cartilaginosos serem restritos, este grupo tem grande potencial paleontológico. Para a costa de Rio Grande do Sul, são bons indicadores paleoecológicos, revelando informações sobre a ecologia ambiental durante o Quaternário.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REFERÊNCIAS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COSTA, S. </w:t>
      </w:r>
      <w:r w:rsidRPr="00000000" w:rsidR="00000000" w:rsidDel="00000000">
        <w:rPr>
          <w:b w:val="1"/>
          <w:highlight w:val="white"/>
          <w:rtl w:val="0"/>
        </w:rPr>
        <w:t xml:space="preserve">A comunidade de tubarões (Chondrichthyes: Selachii: Galea) da formação Pirabas, neógeno da amazônia oriental.</w:t>
      </w:r>
      <w:r w:rsidRPr="00000000" w:rsidR="00000000" w:rsidDel="00000000">
        <w:rPr>
          <w:highlight w:val="white"/>
          <w:rtl w:val="0"/>
        </w:rPr>
        <w:t xml:space="preserve"> 2005. Dissertação (Mestrado em Zoologia)  - Universidade Federal do Pará. Belém, 2005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WOSNICK, N. </w:t>
      </w:r>
      <w:r w:rsidRPr="00000000" w:rsidR="00000000" w:rsidDel="00000000">
        <w:rPr>
          <w:b w:val="1"/>
          <w:highlight w:val="white"/>
          <w:rtl w:val="0"/>
        </w:rPr>
        <w:t xml:space="preserve">Eurihalinidade em Zapteryx brevirostris (raia-viola-de-focinho-curto), espécie ameaçada de elasmobrânquio da costa atlântica sul-americana. </w:t>
      </w:r>
      <w:r w:rsidRPr="00000000" w:rsidR="00000000" w:rsidDel="00000000">
        <w:rPr>
          <w:highlight w:val="white"/>
          <w:rtl w:val="0"/>
        </w:rPr>
        <w:t xml:space="preserve">2012 . Dissertação (Mestrado em Fisiologia) - Universidade Federal do Paraná. Curitiba, 2012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BUCHMANN, F; RINCÓN, G. Fósseis de vertebrados marinhos do pleistoceno superior na porção sul da planície costeira do Rio Grende do Sul. </w:t>
      </w:r>
      <w:r w:rsidRPr="00000000" w:rsidR="00000000" w:rsidDel="00000000">
        <w:rPr>
          <w:b w:val="1"/>
          <w:rtl w:val="0"/>
        </w:rPr>
        <w:t xml:space="preserve">Notas Técnicas do Instituto de Geociências da Universidade federal do Rio Grande do Sul,</w:t>
      </w:r>
      <w:r w:rsidRPr="00000000" w:rsidR="00000000" w:rsidDel="00000000">
        <w:rPr>
          <w:rtl w:val="0"/>
        </w:rPr>
        <w:t xml:space="preserve"> Porto Alegre, n. 10, p. 7-16, 1997.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701" w:right="1134" w:top="1701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b w:val="1"/>
        <w:rtl w:val="0"/>
      </w:rPr>
      <w:t xml:space="preserve">13ª Mostra da Produção Universitária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left"/>
    </w:pPr>
    <w:r w:rsidRPr="00000000" w:rsidR="00000000" w:rsidDel="00000000">
      <w:rPr>
        <w:sz w:val="20"/>
        <w:rtl w:val="0"/>
      </w:rPr>
      <w:t xml:space="preserve">.                                      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left"/>
    </w:pPr>
    <w:r w:rsidRPr="00000000" w:rsidR="00000000" w:rsidDel="00000000">
      <w:rPr>
        <w:sz w:val="20"/>
        <w:rtl w:val="0"/>
      </w:rPr>
      <w:t xml:space="preserve">                                       </w:t>
    </w:r>
    <w:r w:rsidRPr="00000000" w:rsidR="00000000" w:rsidDel="00000000">
      <w:rPr>
        <w:sz w:val="18"/>
        <w:rtl w:val="0"/>
      </w:rPr>
      <w:t xml:space="preserve">Rio Grande/RS, Brasil, 14 a 17 de outubro de 2014.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709" w:right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widowControl w:val="0"/>
      <w:spacing w:lineRule="auto" w:after="120" w:line="240" w:before="480"/>
      <w:ind w:firstLine="709"/>
      <w:jc w:val="both"/>
    </w:pPr>
    <w:rPr>
      <w:rFonts w:cs="Arial" w:hAnsi="Arial" w:eastAsia="Arial" w:ascii="Arial"/>
      <w:b w:val="1"/>
      <w:color w:val="000000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widowControl w:val="0"/>
      <w:spacing w:lineRule="auto" w:after="80" w:line="240" w:before="360"/>
      <w:ind w:firstLine="709"/>
      <w:jc w:val="both"/>
    </w:pPr>
    <w:rPr>
      <w:rFonts w:cs="Arial" w:hAnsi="Arial" w:eastAsia="Arial" w:ascii="Arial"/>
      <w:b w:val="1"/>
      <w:color w:val="000000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widowControl w:val="0"/>
      <w:spacing w:lineRule="auto" w:after="80" w:line="240" w:before="280"/>
      <w:ind w:firstLine="709"/>
      <w:jc w:val="both"/>
    </w:pPr>
    <w:rPr>
      <w:rFonts w:cs="Arial" w:hAnsi="Arial" w:eastAsia="Arial" w:ascii="Arial"/>
      <w:b w:val="1"/>
      <w:color w:val="000000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widowControl w:val="0"/>
      <w:spacing w:lineRule="auto" w:after="40" w:line="240" w:before="240"/>
      <w:ind w:firstLine="709"/>
      <w:jc w:val="both"/>
    </w:pPr>
    <w:rPr>
      <w:rFonts w:cs="Arial" w:hAnsi="Arial" w:eastAsia="Arial" w:ascii="Arial"/>
      <w:b w:val="1"/>
      <w:color w:val="000000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widowControl w:val="0"/>
      <w:spacing w:lineRule="auto" w:after="40" w:line="240" w:before="220"/>
      <w:ind w:firstLine="709"/>
      <w:jc w:val="both"/>
    </w:pPr>
    <w:rPr>
      <w:rFonts w:cs="Arial" w:hAnsi="Arial" w:eastAsia="Arial" w:ascii="Arial"/>
      <w:b w:val="1"/>
      <w:color w:val="000000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widowControl w:val="0"/>
      <w:spacing w:lineRule="auto" w:after="40" w:line="240" w:before="200"/>
      <w:ind w:firstLine="709"/>
      <w:jc w:val="both"/>
    </w:pPr>
    <w:rPr>
      <w:rFonts w:cs="Arial" w:hAnsi="Arial" w:eastAsia="Arial" w:ascii="Arial"/>
      <w:b w:val="1"/>
      <w:color w:val="000000"/>
      <w:sz w:val="20"/>
    </w:rPr>
  </w:style>
  <w:style w:styleId="Title" w:type="paragraph">
    <w:name w:val="Title"/>
    <w:basedOn w:val="Normal"/>
    <w:next w:val="Normal"/>
    <w:pPr>
      <w:keepNext w:val="1"/>
      <w:keepLines w:val="1"/>
      <w:widowControl w:val="0"/>
      <w:spacing w:lineRule="auto" w:after="120" w:line="240" w:before="480"/>
      <w:ind w:firstLine="709"/>
      <w:jc w:val="both"/>
    </w:pPr>
    <w:rPr>
      <w:rFonts w:cs="Arial" w:hAnsi="Arial" w:eastAsia="Arial" w:ascii="Arial"/>
      <w:b w:val="1"/>
      <w:color w:val="000000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widowControl w:val="0"/>
      <w:spacing w:lineRule="auto" w:after="80" w:line="240" w:before="360"/>
      <w:ind w:firstLine="709"/>
      <w:jc w:val="both"/>
    </w:pPr>
    <w:rPr>
      <w:rFonts w:cs="Georgia" w:hAnsi="Georgia" w:eastAsia="Georgia" w:ascii="Georgia"/>
      <w:b w:val="0"/>
      <w:i w:val="1"/>
      <w:color w:val="666666"/>
      <w:sz w:val="48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MPU14corrigida.docx.docx</dc:title>
</cp:coreProperties>
</file>