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65" w:rsidRPr="00E424DA" w:rsidRDefault="008F2165" w:rsidP="008F2165">
      <w:pPr>
        <w:jc w:val="center"/>
        <w:rPr>
          <w:rFonts w:cs="Arial"/>
          <w:b/>
          <w:sz w:val="22"/>
          <w:szCs w:val="22"/>
        </w:rPr>
      </w:pPr>
      <w:r w:rsidRPr="00E424DA">
        <w:rPr>
          <w:rFonts w:cs="Arial"/>
          <w:b/>
          <w:sz w:val="22"/>
          <w:szCs w:val="22"/>
        </w:rPr>
        <w:t xml:space="preserve">PESQUISA DO </w:t>
      </w:r>
      <w:r w:rsidR="0073207E" w:rsidRPr="00E424DA">
        <w:rPr>
          <w:rFonts w:cs="Arial"/>
          <w:b/>
          <w:sz w:val="22"/>
          <w:szCs w:val="22"/>
        </w:rPr>
        <w:t>NÍVEL DE CONCORRÊNCIA ENTRE OS REVENDEDORES VAREJISTAS DE COMBUSTÍVEIS NO RIO GRANDE DO SUL</w:t>
      </w:r>
    </w:p>
    <w:p w:rsidR="008F2165" w:rsidRPr="00E424DA" w:rsidRDefault="008F2165" w:rsidP="008F2165">
      <w:pPr>
        <w:jc w:val="center"/>
        <w:rPr>
          <w:b/>
          <w:sz w:val="22"/>
          <w:szCs w:val="22"/>
        </w:rPr>
      </w:pPr>
    </w:p>
    <w:p w:rsidR="008F2165" w:rsidRPr="00E424DA" w:rsidRDefault="0073207E" w:rsidP="0073207E">
      <w:pPr>
        <w:widowControl/>
        <w:suppressAutoHyphens w:val="0"/>
        <w:ind w:firstLine="0"/>
        <w:jc w:val="right"/>
        <w:rPr>
          <w:b/>
          <w:sz w:val="20"/>
          <w:szCs w:val="20"/>
        </w:rPr>
      </w:pPr>
      <w:r w:rsidRPr="00E424DA">
        <w:rPr>
          <w:b/>
          <w:sz w:val="20"/>
          <w:szCs w:val="20"/>
        </w:rPr>
        <w:t>ZONATTO</w:t>
      </w:r>
      <w:r w:rsidR="008F2165" w:rsidRPr="00E424DA">
        <w:rPr>
          <w:b/>
          <w:sz w:val="20"/>
          <w:szCs w:val="20"/>
        </w:rPr>
        <w:t xml:space="preserve">, </w:t>
      </w:r>
      <w:r w:rsidRPr="00E424DA">
        <w:rPr>
          <w:b/>
          <w:sz w:val="20"/>
          <w:szCs w:val="20"/>
        </w:rPr>
        <w:t>Augusto</w:t>
      </w:r>
      <w:r w:rsidR="008F2165" w:rsidRPr="00E424DA">
        <w:rPr>
          <w:b/>
          <w:sz w:val="20"/>
          <w:szCs w:val="20"/>
        </w:rPr>
        <w:t>;</w:t>
      </w:r>
      <w:r w:rsidR="00BE58E5">
        <w:rPr>
          <w:b/>
          <w:sz w:val="20"/>
          <w:szCs w:val="20"/>
        </w:rPr>
        <w:t xml:space="preserve"> </w:t>
      </w:r>
      <w:r w:rsidRPr="00E424DA">
        <w:rPr>
          <w:rFonts w:cs="Arial"/>
          <w:b/>
          <w:sz w:val="20"/>
          <w:szCs w:val="20"/>
        </w:rPr>
        <w:t>FREITAS, Tiarajú Alves de.</w:t>
      </w:r>
    </w:p>
    <w:p w:rsidR="008F2165" w:rsidRPr="00E424DA" w:rsidRDefault="0073207E" w:rsidP="008F2165">
      <w:pPr>
        <w:ind w:firstLine="0"/>
        <w:jc w:val="right"/>
        <w:rPr>
          <w:rFonts w:cs="Arial"/>
          <w:b/>
          <w:sz w:val="22"/>
          <w:szCs w:val="22"/>
        </w:rPr>
      </w:pPr>
      <w:r w:rsidRPr="00E424DA">
        <w:rPr>
          <w:rFonts w:cs="Arial"/>
          <w:b/>
          <w:sz w:val="20"/>
          <w:szCs w:val="20"/>
        </w:rPr>
        <w:t>augusto.zonatto@gmail.com</w:t>
      </w:r>
    </w:p>
    <w:p w:rsidR="008F2165" w:rsidRPr="00E424DA" w:rsidRDefault="008F2165" w:rsidP="008F2165">
      <w:pPr>
        <w:ind w:firstLine="0"/>
        <w:jc w:val="right"/>
        <w:rPr>
          <w:b/>
          <w:sz w:val="22"/>
          <w:szCs w:val="22"/>
        </w:rPr>
      </w:pPr>
      <w:r w:rsidRPr="00E424DA">
        <w:rPr>
          <w:b/>
          <w:sz w:val="22"/>
          <w:szCs w:val="22"/>
        </w:rPr>
        <w:t xml:space="preserve">Evento: </w:t>
      </w:r>
      <w:r w:rsidR="0036728F">
        <w:rPr>
          <w:b/>
          <w:sz w:val="22"/>
          <w:szCs w:val="22"/>
        </w:rPr>
        <w:t>Seminário de pesquisa</w:t>
      </w:r>
    </w:p>
    <w:p w:rsidR="008F2165" w:rsidRPr="00E424DA" w:rsidRDefault="008F2165" w:rsidP="008F2165">
      <w:pPr>
        <w:jc w:val="right"/>
        <w:rPr>
          <w:rFonts w:cs="Arial"/>
          <w:sz w:val="22"/>
          <w:szCs w:val="22"/>
        </w:rPr>
      </w:pPr>
      <w:r w:rsidRPr="00E424DA">
        <w:rPr>
          <w:b/>
          <w:sz w:val="22"/>
          <w:szCs w:val="22"/>
        </w:rPr>
        <w:t xml:space="preserve">Área do conhecimento: </w:t>
      </w:r>
      <w:r w:rsidRPr="00E424DA">
        <w:rPr>
          <w:rFonts w:cs="Arial"/>
          <w:b/>
          <w:sz w:val="22"/>
          <w:szCs w:val="22"/>
        </w:rPr>
        <w:t>Ciências Sociais e Aplicadas</w:t>
      </w:r>
    </w:p>
    <w:p w:rsidR="008F2165" w:rsidRPr="00E424DA" w:rsidRDefault="008F2165" w:rsidP="008F2165">
      <w:pPr>
        <w:ind w:firstLine="0"/>
        <w:jc w:val="right"/>
        <w:rPr>
          <w:b/>
          <w:sz w:val="22"/>
          <w:szCs w:val="22"/>
        </w:rPr>
      </w:pPr>
    </w:p>
    <w:p w:rsidR="008F2165" w:rsidRPr="00E424DA" w:rsidRDefault="008F2165" w:rsidP="008F2165">
      <w:pPr>
        <w:ind w:firstLine="0"/>
        <w:rPr>
          <w:b/>
          <w:sz w:val="22"/>
          <w:szCs w:val="22"/>
        </w:rPr>
      </w:pPr>
      <w:r w:rsidRPr="00E424DA">
        <w:rPr>
          <w:b/>
          <w:sz w:val="22"/>
          <w:szCs w:val="22"/>
        </w:rPr>
        <w:t>Palavras-chave</w:t>
      </w:r>
      <w:r w:rsidR="00554D8E" w:rsidRPr="00E424DA">
        <w:rPr>
          <w:b/>
          <w:sz w:val="22"/>
          <w:szCs w:val="22"/>
        </w:rPr>
        <w:t>:</w:t>
      </w:r>
      <w:r w:rsidR="0073207E" w:rsidRPr="00E424DA">
        <w:rPr>
          <w:b/>
          <w:sz w:val="22"/>
          <w:szCs w:val="22"/>
        </w:rPr>
        <w:t>Defesa da concorrência</w:t>
      </w:r>
      <w:r w:rsidRPr="00E424DA">
        <w:rPr>
          <w:rFonts w:cs="Arial"/>
          <w:sz w:val="22"/>
          <w:szCs w:val="22"/>
        </w:rPr>
        <w:t xml:space="preserve">, </w:t>
      </w:r>
      <w:r w:rsidR="0073207E" w:rsidRPr="00E424DA">
        <w:rPr>
          <w:rFonts w:cs="Arial"/>
          <w:sz w:val="22"/>
          <w:szCs w:val="22"/>
        </w:rPr>
        <w:t>Revendedores varejistas</w:t>
      </w:r>
      <w:r w:rsidRPr="00E424DA">
        <w:rPr>
          <w:rFonts w:cs="Arial"/>
          <w:sz w:val="22"/>
          <w:szCs w:val="22"/>
        </w:rPr>
        <w:t>.</w:t>
      </w:r>
    </w:p>
    <w:p w:rsidR="008F2165" w:rsidRPr="00E424DA" w:rsidRDefault="008F2165" w:rsidP="0029083B">
      <w:pPr>
        <w:pStyle w:val="Ttulodaseoprimria"/>
        <w:rPr>
          <w:rFonts w:cs="Arial"/>
          <w:sz w:val="22"/>
          <w:szCs w:val="22"/>
        </w:rPr>
      </w:pPr>
    </w:p>
    <w:p w:rsidR="009D0723" w:rsidRPr="00E424DA" w:rsidRDefault="0082219D" w:rsidP="0029083B">
      <w:pPr>
        <w:pStyle w:val="Ttulodaseoprimria"/>
        <w:rPr>
          <w:rFonts w:cs="Arial"/>
          <w:sz w:val="22"/>
          <w:szCs w:val="22"/>
        </w:rPr>
      </w:pPr>
      <w:r w:rsidRPr="00E424DA">
        <w:rPr>
          <w:rFonts w:cs="Arial"/>
          <w:sz w:val="22"/>
          <w:szCs w:val="22"/>
        </w:rPr>
        <w:t>1 INTRODUÇÃO</w:t>
      </w:r>
    </w:p>
    <w:p w:rsidR="009D0723" w:rsidRPr="00E424DA" w:rsidRDefault="009D0723" w:rsidP="0029083B">
      <w:pPr>
        <w:ind w:left="709" w:firstLine="0"/>
        <w:rPr>
          <w:rFonts w:cs="Arial"/>
          <w:sz w:val="22"/>
          <w:szCs w:val="22"/>
        </w:rPr>
      </w:pPr>
    </w:p>
    <w:p w:rsidR="005D03A4" w:rsidRPr="002A70C2" w:rsidRDefault="00176E7E" w:rsidP="005D03A4">
      <w:pPr>
        <w:spacing w:line="360" w:lineRule="auto"/>
        <w:ind w:firstLine="708"/>
        <w:rPr>
          <w:sz w:val="20"/>
          <w:szCs w:val="20"/>
        </w:rPr>
      </w:pPr>
      <w:r w:rsidRPr="002A70C2">
        <w:rPr>
          <w:rFonts w:cs="Arial"/>
          <w:sz w:val="20"/>
          <w:szCs w:val="20"/>
        </w:rPr>
        <w:t xml:space="preserve">A Universidade Federal do Rio Grande (FURG), por meio do Centro Integrado de Pesquisas (CIP), ligado ao Instituto de Ciências Econômicas, Administrativas e Contábeis (ICEAC/FURG) tem trabalhado com a metodologia do cálculo do </w:t>
      </w:r>
      <w:r w:rsidR="0073207E" w:rsidRPr="002A70C2">
        <w:rPr>
          <w:rFonts w:cs="Arial"/>
          <w:sz w:val="20"/>
          <w:szCs w:val="20"/>
        </w:rPr>
        <w:t>Índice Concorrencial de Preços - ICP</w:t>
      </w:r>
      <w:r w:rsidRPr="002A70C2">
        <w:rPr>
          <w:rFonts w:cs="Arial"/>
          <w:sz w:val="20"/>
          <w:szCs w:val="20"/>
        </w:rPr>
        <w:t xml:space="preserve"> </w:t>
      </w:r>
      <w:r w:rsidR="0036728F">
        <w:rPr>
          <w:rFonts w:cs="Arial"/>
          <w:sz w:val="20"/>
          <w:szCs w:val="20"/>
        </w:rPr>
        <w:t xml:space="preserve">- </w:t>
      </w:r>
      <w:r w:rsidRPr="002A70C2">
        <w:rPr>
          <w:rFonts w:cs="Arial"/>
          <w:sz w:val="20"/>
          <w:szCs w:val="20"/>
        </w:rPr>
        <w:t>desde</w:t>
      </w:r>
      <w:r w:rsidR="0036728F">
        <w:rPr>
          <w:rFonts w:cs="Arial"/>
          <w:sz w:val="20"/>
          <w:szCs w:val="20"/>
        </w:rPr>
        <w:t xml:space="preserve"> </w:t>
      </w:r>
      <w:r w:rsidR="0073207E" w:rsidRPr="002A70C2">
        <w:rPr>
          <w:rFonts w:cs="Arial"/>
          <w:sz w:val="20"/>
          <w:szCs w:val="20"/>
        </w:rPr>
        <w:t>2006.</w:t>
      </w:r>
      <w:r w:rsidR="0036728F">
        <w:rPr>
          <w:sz w:val="20"/>
          <w:szCs w:val="20"/>
        </w:rPr>
        <w:t xml:space="preserve"> O ICP analisa o grau de</w:t>
      </w:r>
      <w:r w:rsidR="005D03A4" w:rsidRPr="002A70C2">
        <w:rPr>
          <w:sz w:val="20"/>
          <w:szCs w:val="20"/>
        </w:rPr>
        <w:t xml:space="preserve"> dispersão dos preços da gasolina</w:t>
      </w:r>
      <w:r w:rsidR="0036728F">
        <w:rPr>
          <w:sz w:val="20"/>
          <w:szCs w:val="20"/>
        </w:rPr>
        <w:t xml:space="preserve"> comum</w:t>
      </w:r>
      <w:r w:rsidR="005D03A4" w:rsidRPr="002A70C2">
        <w:rPr>
          <w:sz w:val="20"/>
          <w:szCs w:val="20"/>
        </w:rPr>
        <w:t xml:space="preserve"> tendo como base a coleta de preços divulgados semanalmente pela Agência Nacional do Petróleo – ANP</w:t>
      </w:r>
      <w:r w:rsidR="005D03A4" w:rsidRPr="002A70C2">
        <w:rPr>
          <w:rStyle w:val="Caracteresdenotaderodap"/>
          <w:sz w:val="20"/>
          <w:szCs w:val="20"/>
        </w:rPr>
        <w:footnoteReference w:id="2"/>
      </w:r>
      <w:r w:rsidR="005D03A4" w:rsidRPr="002A70C2">
        <w:rPr>
          <w:sz w:val="20"/>
          <w:szCs w:val="20"/>
        </w:rPr>
        <w:t>.</w:t>
      </w:r>
    </w:p>
    <w:p w:rsidR="005D03A4" w:rsidRPr="002A70C2" w:rsidRDefault="005D03A4" w:rsidP="005D03A4">
      <w:pPr>
        <w:spacing w:line="360" w:lineRule="auto"/>
        <w:ind w:firstLine="708"/>
        <w:rPr>
          <w:sz w:val="20"/>
          <w:szCs w:val="20"/>
        </w:rPr>
      </w:pPr>
      <w:r w:rsidRPr="002A70C2">
        <w:rPr>
          <w:sz w:val="20"/>
          <w:szCs w:val="20"/>
        </w:rPr>
        <w:t>O Índice Concorrencial de Preços, criado pelo CIP/ICEAC, é um instrumento pelo qual se pode averiguar a concorrência ou a não-concorrência entre os postos de combustíveis, de acordo com o nível de dispersão dos preços.</w:t>
      </w:r>
    </w:p>
    <w:p w:rsidR="009D0723" w:rsidRPr="00E424DA" w:rsidRDefault="009D0723" w:rsidP="0029083B">
      <w:pPr>
        <w:rPr>
          <w:rFonts w:cs="Arial"/>
          <w:sz w:val="22"/>
          <w:szCs w:val="22"/>
        </w:rPr>
      </w:pPr>
    </w:p>
    <w:p w:rsidR="009D0723" w:rsidRPr="00E424DA" w:rsidRDefault="001A10FF" w:rsidP="001A10FF">
      <w:pPr>
        <w:ind w:firstLine="0"/>
        <w:jc w:val="left"/>
        <w:rPr>
          <w:rFonts w:cs="Arial"/>
          <w:b/>
          <w:sz w:val="22"/>
          <w:szCs w:val="22"/>
        </w:rPr>
      </w:pPr>
      <w:r w:rsidRPr="00E424DA">
        <w:rPr>
          <w:rFonts w:cs="Arial"/>
          <w:b/>
          <w:sz w:val="22"/>
          <w:szCs w:val="22"/>
        </w:rPr>
        <w:t>2 REFERENCIAL TE</w:t>
      </w:r>
      <w:r w:rsidR="0036728F">
        <w:rPr>
          <w:rFonts w:cs="Arial"/>
          <w:b/>
          <w:sz w:val="22"/>
          <w:szCs w:val="22"/>
        </w:rPr>
        <w:t>Ó</w:t>
      </w:r>
      <w:r w:rsidRPr="00E424DA">
        <w:rPr>
          <w:rFonts w:cs="Arial"/>
          <w:b/>
          <w:sz w:val="22"/>
          <w:szCs w:val="22"/>
        </w:rPr>
        <w:t>RICO</w:t>
      </w:r>
    </w:p>
    <w:p w:rsidR="001A10FF" w:rsidRPr="00E424DA" w:rsidRDefault="001A10FF" w:rsidP="001A10FF">
      <w:pPr>
        <w:ind w:firstLine="0"/>
        <w:jc w:val="left"/>
        <w:rPr>
          <w:rFonts w:cs="Arial"/>
          <w:b/>
          <w:sz w:val="22"/>
          <w:szCs w:val="22"/>
        </w:rPr>
      </w:pPr>
    </w:p>
    <w:p w:rsidR="005D03A4" w:rsidRDefault="005D03A4" w:rsidP="005D03A4">
      <w:pPr>
        <w:pStyle w:val="Corpodetexto31"/>
        <w:spacing w:line="360" w:lineRule="auto"/>
        <w:ind w:firstLine="709"/>
        <w:jc w:val="both"/>
        <w:rPr>
          <w:rFonts w:ascii="Arial" w:hAnsi="Arial"/>
          <w:sz w:val="20"/>
        </w:rPr>
      </w:pPr>
      <w:r>
        <w:rPr>
          <w:rFonts w:ascii="Arial" w:hAnsi="Arial"/>
          <w:sz w:val="20"/>
        </w:rPr>
        <w:t>Para verificar a possível ocorrência de práticas anticompetitivas pode-se analisar</w:t>
      </w:r>
      <w:r w:rsidR="0036728F">
        <w:rPr>
          <w:rFonts w:ascii="Arial" w:hAnsi="Arial"/>
          <w:sz w:val="20"/>
        </w:rPr>
        <w:t>, inicialmente,</w:t>
      </w:r>
      <w:r>
        <w:rPr>
          <w:rFonts w:ascii="Arial" w:hAnsi="Arial"/>
          <w:sz w:val="20"/>
        </w:rPr>
        <w:t xml:space="preserve"> a dispersão dos preços através do cálculo do coeficiente de variação. O coeficiente de variação é interpretado como a variabilidade dos dados em relação à média e quanto menor este coeficiente mais homogêneo é o conjunto de dados, ou seja, mais os preços estão alinhados. Como </w:t>
      </w:r>
      <w:r w:rsidR="0036728F">
        <w:rPr>
          <w:rFonts w:ascii="Arial" w:hAnsi="Arial"/>
          <w:sz w:val="20"/>
        </w:rPr>
        <w:t xml:space="preserve">se está </w:t>
      </w:r>
      <w:r>
        <w:rPr>
          <w:rFonts w:ascii="Arial" w:hAnsi="Arial"/>
          <w:sz w:val="20"/>
        </w:rPr>
        <w:t>tratando do nível de concorrência entre os postos</w:t>
      </w:r>
      <w:r w:rsidR="0036728F">
        <w:rPr>
          <w:rFonts w:ascii="Arial" w:hAnsi="Arial"/>
          <w:sz w:val="20"/>
        </w:rPr>
        <w:t xml:space="preserve"> - revendedores -</w:t>
      </w:r>
      <w:r>
        <w:rPr>
          <w:rFonts w:ascii="Arial" w:hAnsi="Arial"/>
          <w:sz w:val="20"/>
        </w:rPr>
        <w:t xml:space="preserve"> de combustíveis </w:t>
      </w:r>
      <w:r w:rsidR="0036728F">
        <w:rPr>
          <w:rFonts w:ascii="Arial" w:hAnsi="Arial"/>
          <w:sz w:val="20"/>
        </w:rPr>
        <w:t xml:space="preserve">denominou-se </w:t>
      </w:r>
      <w:r>
        <w:rPr>
          <w:rFonts w:ascii="Arial" w:hAnsi="Arial"/>
          <w:sz w:val="20"/>
        </w:rPr>
        <w:t xml:space="preserve">o </w:t>
      </w:r>
      <w:r w:rsidR="0036728F">
        <w:rPr>
          <w:rFonts w:ascii="Arial" w:hAnsi="Arial"/>
          <w:sz w:val="20"/>
        </w:rPr>
        <w:t>c</w:t>
      </w:r>
      <w:r>
        <w:rPr>
          <w:rFonts w:ascii="Arial" w:hAnsi="Arial"/>
          <w:sz w:val="20"/>
        </w:rPr>
        <w:t xml:space="preserve">oeficiente de </w:t>
      </w:r>
      <w:r w:rsidR="0036728F">
        <w:rPr>
          <w:rFonts w:ascii="Arial" w:hAnsi="Arial"/>
          <w:sz w:val="20"/>
        </w:rPr>
        <w:t>v</w:t>
      </w:r>
      <w:r>
        <w:rPr>
          <w:rFonts w:ascii="Arial" w:hAnsi="Arial"/>
          <w:sz w:val="20"/>
        </w:rPr>
        <w:t xml:space="preserve">ariação </w:t>
      </w:r>
      <w:r w:rsidR="0036728F">
        <w:rPr>
          <w:rFonts w:ascii="Arial" w:hAnsi="Arial"/>
          <w:sz w:val="20"/>
        </w:rPr>
        <w:t xml:space="preserve">como o </w:t>
      </w:r>
      <w:r>
        <w:rPr>
          <w:rFonts w:ascii="Arial" w:hAnsi="Arial"/>
          <w:sz w:val="20"/>
        </w:rPr>
        <w:t xml:space="preserve">Índice Concorrencial de Preços </w:t>
      </w:r>
      <w:r w:rsidR="0036728F">
        <w:rPr>
          <w:rFonts w:ascii="Arial" w:hAnsi="Arial"/>
          <w:sz w:val="20"/>
        </w:rPr>
        <w:t>- ICP</w:t>
      </w:r>
      <w:r>
        <w:rPr>
          <w:rFonts w:ascii="Arial" w:hAnsi="Arial"/>
          <w:sz w:val="20"/>
        </w:rPr>
        <w:t xml:space="preserve">. O ICP é o desvio-padrão dos preços dos combustíveis para um grupo de postos dividido pelo preço médio do combustível neste mesmo grupo. </w:t>
      </w:r>
      <w:r w:rsidR="0036728F">
        <w:rPr>
          <w:rFonts w:ascii="Arial" w:hAnsi="Arial"/>
          <w:sz w:val="20"/>
        </w:rPr>
        <w:t xml:space="preserve">Forma de </w:t>
      </w:r>
      <w:r>
        <w:rPr>
          <w:rFonts w:ascii="Arial" w:hAnsi="Arial"/>
          <w:sz w:val="20"/>
        </w:rPr>
        <w:t>interpreta</w:t>
      </w:r>
      <w:r w:rsidR="0036728F">
        <w:rPr>
          <w:rFonts w:ascii="Arial" w:hAnsi="Arial"/>
          <w:sz w:val="20"/>
        </w:rPr>
        <w:t>r</w:t>
      </w:r>
      <w:r>
        <w:rPr>
          <w:rFonts w:ascii="Arial" w:hAnsi="Arial"/>
          <w:sz w:val="20"/>
        </w:rPr>
        <w:t xml:space="preserve"> o ICP: quanto mais próximo de zero for o seu valor, maior é o alinhamento de preços e menor a concorrência entre os postos (Tabela 1).</w:t>
      </w:r>
    </w:p>
    <w:p w:rsidR="005D03A4" w:rsidRDefault="005D03A4" w:rsidP="005D03A4">
      <w:pPr>
        <w:pStyle w:val="Corpodetexto31"/>
        <w:spacing w:line="360" w:lineRule="auto"/>
        <w:ind w:firstLine="709"/>
        <w:jc w:val="both"/>
        <w:rPr>
          <w:rFonts w:ascii="Arial" w:hAnsi="Arial"/>
          <w:sz w:val="20"/>
        </w:rPr>
      </w:pPr>
      <w:r>
        <w:rPr>
          <w:rFonts w:ascii="Arial" w:hAnsi="Arial"/>
          <w:sz w:val="20"/>
        </w:rPr>
        <w:t xml:space="preserve">Ademais </w:t>
      </w:r>
      <w:r w:rsidR="0036728F">
        <w:rPr>
          <w:rFonts w:ascii="Arial" w:hAnsi="Arial"/>
          <w:sz w:val="20"/>
        </w:rPr>
        <w:t>se criou</w:t>
      </w:r>
      <w:r>
        <w:rPr>
          <w:rFonts w:ascii="Arial" w:hAnsi="Arial"/>
          <w:sz w:val="20"/>
        </w:rPr>
        <w:t xml:space="preserve"> uma linha divisória que indicaria a região de baixíssima dispersão de preços que poderia indicar um conluio ou formação de cartel. Um ICP abaixo de 1% entra na categoria de “não-concorrência”, ou seja, os preços apresentam-se alinhados. É importante salientar que não é uma prova de cartel explícito ou proposital se o ICP estiver nesta região, mas uma indicação para que se façam maiores análises desses resultados. Dentro desta área podem-se encontrar acordos propositais e acidentais. Os acordos acidentais são decorrentes das características estruturais do mercado e da homogeneidade do produto. É comum encontrar explicações por parte dos postos de que dada a estrutura de custos semelhante, os preços tendem a ficarem alinhados. Já os acordos propositais significam um conluio para promoverem a prática de um mesmo preço no mercado por um grupo que tenha representatividade no mesmo. Para se saber qual tipo de acordo está ocorrendo são necessárias pesquisas mais detalhadas podendo gerar inclusive abertura de processos </w:t>
      </w:r>
      <w:r w:rsidR="0036728F">
        <w:rPr>
          <w:rFonts w:ascii="Arial" w:hAnsi="Arial"/>
          <w:sz w:val="20"/>
        </w:rPr>
        <w:lastRenderedPageBreak/>
        <w:t xml:space="preserve">administrativos </w:t>
      </w:r>
      <w:r>
        <w:rPr>
          <w:rFonts w:ascii="Arial" w:hAnsi="Arial"/>
          <w:sz w:val="20"/>
        </w:rPr>
        <w:t xml:space="preserve">junto à agência reguladora do setor, ANP e, </w:t>
      </w:r>
      <w:r w:rsidR="0036728F">
        <w:rPr>
          <w:rFonts w:ascii="Arial" w:hAnsi="Arial"/>
          <w:sz w:val="20"/>
        </w:rPr>
        <w:t>à</w:t>
      </w:r>
      <w:r>
        <w:rPr>
          <w:rFonts w:ascii="Arial" w:hAnsi="Arial"/>
          <w:sz w:val="20"/>
        </w:rPr>
        <w:t xml:space="preserve"> Secretaria de </w:t>
      </w:r>
      <w:r w:rsidR="0036728F">
        <w:rPr>
          <w:rFonts w:ascii="Arial" w:hAnsi="Arial"/>
          <w:sz w:val="20"/>
        </w:rPr>
        <w:t xml:space="preserve">Acompanhamento </w:t>
      </w:r>
      <w:r>
        <w:rPr>
          <w:rFonts w:ascii="Arial" w:hAnsi="Arial"/>
          <w:sz w:val="20"/>
        </w:rPr>
        <w:t>Econômico - S</w:t>
      </w:r>
      <w:r w:rsidR="0036728F">
        <w:rPr>
          <w:rFonts w:ascii="Arial" w:hAnsi="Arial"/>
          <w:sz w:val="20"/>
        </w:rPr>
        <w:t>EA</w:t>
      </w:r>
      <w:r>
        <w:rPr>
          <w:rFonts w:ascii="Arial" w:hAnsi="Arial"/>
          <w:sz w:val="20"/>
        </w:rPr>
        <w:t xml:space="preserve">E. </w:t>
      </w:r>
    </w:p>
    <w:p w:rsidR="005D03A4" w:rsidRDefault="005D03A4" w:rsidP="005D03A4">
      <w:pPr>
        <w:pStyle w:val="Corpodetexto31"/>
        <w:ind w:firstLine="708"/>
        <w:jc w:val="both"/>
        <w:rPr>
          <w:rFonts w:ascii="Arial" w:hAnsi="Arial"/>
          <w:sz w:val="20"/>
        </w:rPr>
      </w:pPr>
    </w:p>
    <w:p w:rsidR="005D03A4" w:rsidRDefault="005D03A4" w:rsidP="005D03A4">
      <w:pPr>
        <w:pStyle w:val="Corpodetexto31"/>
        <w:jc w:val="both"/>
        <w:rPr>
          <w:rFonts w:ascii="Arial" w:hAnsi="Arial"/>
          <w:sz w:val="20"/>
        </w:rPr>
      </w:pPr>
      <w:r>
        <w:rPr>
          <w:rFonts w:ascii="Arial" w:hAnsi="Arial"/>
          <w:b/>
          <w:sz w:val="20"/>
        </w:rPr>
        <w:t xml:space="preserve">TABELA 1 - </w:t>
      </w:r>
      <w:r>
        <w:rPr>
          <w:rFonts w:ascii="Arial" w:hAnsi="Arial"/>
          <w:sz w:val="20"/>
        </w:rPr>
        <w:t>Características do Índice Concorrencial de Preços – ICP para sinalizar não-concorrência</w:t>
      </w:r>
    </w:p>
    <w:tbl>
      <w:tblPr>
        <w:tblW w:w="0" w:type="auto"/>
        <w:tblInd w:w="5" w:type="dxa"/>
        <w:tblLayout w:type="fixed"/>
        <w:tblCellMar>
          <w:left w:w="0" w:type="dxa"/>
          <w:right w:w="0" w:type="dxa"/>
        </w:tblCellMar>
        <w:tblLook w:val="0000"/>
      </w:tblPr>
      <w:tblGrid>
        <w:gridCol w:w="2250"/>
        <w:gridCol w:w="2250"/>
        <w:gridCol w:w="2250"/>
        <w:gridCol w:w="2260"/>
      </w:tblGrid>
      <w:tr w:rsidR="005D03A4" w:rsidTr="00DF5A8B">
        <w:tc>
          <w:tcPr>
            <w:tcW w:w="2250" w:type="dxa"/>
            <w:tcBorders>
              <w:top w:val="single" w:sz="4" w:space="0" w:color="000000"/>
              <w:left w:val="single" w:sz="4" w:space="0" w:color="000000"/>
              <w:bottom w:val="single" w:sz="4" w:space="0" w:color="000000"/>
            </w:tcBorders>
            <w:vAlign w:val="center"/>
          </w:tcPr>
          <w:p w:rsidR="005D03A4" w:rsidRDefault="005D03A4" w:rsidP="00DF5A8B">
            <w:pPr>
              <w:pStyle w:val="Corpodetexto31"/>
              <w:snapToGrid w:val="0"/>
              <w:jc w:val="center"/>
              <w:rPr>
                <w:rFonts w:ascii="Arial" w:hAnsi="Arial"/>
                <w:b/>
                <w:sz w:val="20"/>
              </w:rPr>
            </w:pPr>
            <w:r>
              <w:rPr>
                <w:rFonts w:ascii="Arial" w:hAnsi="Arial"/>
                <w:b/>
                <w:sz w:val="20"/>
              </w:rPr>
              <w:t>Valor ICP</w:t>
            </w:r>
          </w:p>
        </w:tc>
        <w:tc>
          <w:tcPr>
            <w:tcW w:w="2250" w:type="dxa"/>
            <w:tcBorders>
              <w:top w:val="single" w:sz="4" w:space="0" w:color="000000"/>
              <w:left w:val="single" w:sz="4" w:space="0" w:color="000000"/>
              <w:bottom w:val="single" w:sz="4" w:space="0" w:color="000000"/>
            </w:tcBorders>
            <w:vAlign w:val="center"/>
          </w:tcPr>
          <w:p w:rsidR="005D03A4" w:rsidRDefault="005D03A4" w:rsidP="00DF5A8B">
            <w:pPr>
              <w:pStyle w:val="Corpodetexto31"/>
              <w:snapToGrid w:val="0"/>
              <w:jc w:val="center"/>
              <w:rPr>
                <w:rFonts w:ascii="Arial" w:hAnsi="Arial"/>
                <w:b/>
                <w:sz w:val="20"/>
              </w:rPr>
            </w:pPr>
            <w:r>
              <w:rPr>
                <w:rFonts w:ascii="Arial" w:hAnsi="Arial"/>
                <w:b/>
                <w:sz w:val="20"/>
              </w:rPr>
              <w:t>Denominação</w:t>
            </w:r>
          </w:p>
        </w:tc>
        <w:tc>
          <w:tcPr>
            <w:tcW w:w="2250" w:type="dxa"/>
            <w:tcBorders>
              <w:top w:val="single" w:sz="4" w:space="0" w:color="000000"/>
              <w:left w:val="single" w:sz="4" w:space="0" w:color="000000"/>
              <w:bottom w:val="single" w:sz="4" w:space="0" w:color="000000"/>
            </w:tcBorders>
            <w:vAlign w:val="center"/>
          </w:tcPr>
          <w:p w:rsidR="005D03A4" w:rsidRDefault="005D03A4" w:rsidP="00DF5A8B">
            <w:pPr>
              <w:pStyle w:val="Corpodetexto31"/>
              <w:snapToGrid w:val="0"/>
              <w:jc w:val="center"/>
              <w:rPr>
                <w:rFonts w:ascii="Arial" w:hAnsi="Arial"/>
                <w:b/>
                <w:sz w:val="20"/>
              </w:rPr>
            </w:pPr>
            <w:r>
              <w:rPr>
                <w:rFonts w:ascii="Arial" w:hAnsi="Arial"/>
                <w:b/>
                <w:sz w:val="20"/>
              </w:rPr>
              <w:t>Significado</w:t>
            </w:r>
          </w:p>
        </w:tc>
        <w:tc>
          <w:tcPr>
            <w:tcW w:w="2260" w:type="dxa"/>
            <w:tcBorders>
              <w:top w:val="single" w:sz="4" w:space="0" w:color="000000"/>
              <w:left w:val="single" w:sz="4" w:space="0" w:color="000000"/>
              <w:bottom w:val="single" w:sz="4" w:space="0" w:color="000000"/>
              <w:right w:val="single" w:sz="4" w:space="0" w:color="000000"/>
            </w:tcBorders>
            <w:vAlign w:val="center"/>
          </w:tcPr>
          <w:p w:rsidR="005D03A4" w:rsidRDefault="005D03A4" w:rsidP="00DF5A8B">
            <w:pPr>
              <w:pStyle w:val="Corpodetexto31"/>
              <w:snapToGrid w:val="0"/>
              <w:jc w:val="center"/>
              <w:rPr>
                <w:rFonts w:ascii="Arial" w:hAnsi="Arial"/>
                <w:b/>
                <w:sz w:val="20"/>
              </w:rPr>
            </w:pPr>
            <w:r>
              <w:rPr>
                <w:rFonts w:ascii="Arial" w:hAnsi="Arial"/>
                <w:b/>
                <w:sz w:val="20"/>
              </w:rPr>
              <w:t>Concorrência</w:t>
            </w:r>
          </w:p>
        </w:tc>
      </w:tr>
      <w:tr w:rsidR="005D03A4" w:rsidTr="00DF5A8B">
        <w:tc>
          <w:tcPr>
            <w:tcW w:w="2250" w:type="dxa"/>
            <w:tcBorders>
              <w:top w:val="single" w:sz="4" w:space="0" w:color="000000"/>
              <w:left w:val="single" w:sz="4" w:space="0" w:color="000000"/>
              <w:bottom w:val="single" w:sz="4" w:space="0" w:color="000000"/>
            </w:tcBorders>
            <w:vAlign w:val="center"/>
          </w:tcPr>
          <w:p w:rsidR="005D03A4" w:rsidRDefault="005D03A4" w:rsidP="00DF5A8B">
            <w:pPr>
              <w:pStyle w:val="Corpodetexto31"/>
              <w:snapToGrid w:val="0"/>
              <w:jc w:val="center"/>
              <w:rPr>
                <w:rFonts w:ascii="Arial" w:hAnsi="Arial"/>
                <w:sz w:val="20"/>
              </w:rPr>
            </w:pPr>
            <w:r>
              <w:rPr>
                <w:rFonts w:ascii="Arial" w:hAnsi="Arial"/>
                <w:sz w:val="20"/>
              </w:rPr>
              <w:t>ICP ≤ 1%</w:t>
            </w:r>
          </w:p>
        </w:tc>
        <w:tc>
          <w:tcPr>
            <w:tcW w:w="2250" w:type="dxa"/>
            <w:tcBorders>
              <w:top w:val="single" w:sz="4" w:space="0" w:color="000000"/>
              <w:left w:val="single" w:sz="4" w:space="0" w:color="000000"/>
              <w:bottom w:val="single" w:sz="4" w:space="0" w:color="000000"/>
            </w:tcBorders>
            <w:vAlign w:val="center"/>
          </w:tcPr>
          <w:p w:rsidR="005D03A4" w:rsidRDefault="005D03A4" w:rsidP="00DF5A8B">
            <w:pPr>
              <w:pStyle w:val="Corpodetexto31"/>
              <w:snapToGrid w:val="0"/>
              <w:jc w:val="center"/>
              <w:rPr>
                <w:rFonts w:ascii="Arial" w:hAnsi="Arial"/>
                <w:sz w:val="20"/>
              </w:rPr>
            </w:pPr>
            <w:r>
              <w:rPr>
                <w:rFonts w:ascii="Arial" w:hAnsi="Arial"/>
                <w:sz w:val="20"/>
              </w:rPr>
              <w:t>Área de não-concorrência</w:t>
            </w:r>
          </w:p>
        </w:tc>
        <w:tc>
          <w:tcPr>
            <w:tcW w:w="2250" w:type="dxa"/>
            <w:tcBorders>
              <w:top w:val="single" w:sz="4" w:space="0" w:color="000000"/>
              <w:left w:val="single" w:sz="4" w:space="0" w:color="000000"/>
              <w:bottom w:val="single" w:sz="4" w:space="0" w:color="000000"/>
            </w:tcBorders>
            <w:vAlign w:val="center"/>
          </w:tcPr>
          <w:p w:rsidR="005D03A4" w:rsidRDefault="005D03A4" w:rsidP="00DF5A8B">
            <w:pPr>
              <w:pStyle w:val="Corpodetexto31"/>
              <w:snapToGrid w:val="0"/>
              <w:jc w:val="center"/>
              <w:rPr>
                <w:rFonts w:ascii="Arial" w:hAnsi="Arial"/>
                <w:sz w:val="20"/>
              </w:rPr>
            </w:pPr>
            <w:r>
              <w:rPr>
                <w:rFonts w:ascii="Arial" w:hAnsi="Arial"/>
                <w:sz w:val="20"/>
              </w:rPr>
              <w:t>Os preços estão fortemente alinhados</w:t>
            </w:r>
          </w:p>
        </w:tc>
        <w:tc>
          <w:tcPr>
            <w:tcW w:w="2260" w:type="dxa"/>
            <w:tcBorders>
              <w:top w:val="single" w:sz="4" w:space="0" w:color="000000"/>
              <w:left w:val="single" w:sz="4" w:space="0" w:color="000000"/>
              <w:bottom w:val="single" w:sz="4" w:space="0" w:color="000000"/>
              <w:right w:val="single" w:sz="4" w:space="0" w:color="000000"/>
            </w:tcBorders>
            <w:vAlign w:val="center"/>
          </w:tcPr>
          <w:p w:rsidR="005D03A4" w:rsidRDefault="005D03A4" w:rsidP="00DF5A8B">
            <w:pPr>
              <w:pStyle w:val="Corpodetexto31"/>
              <w:snapToGrid w:val="0"/>
              <w:jc w:val="center"/>
              <w:rPr>
                <w:rFonts w:ascii="Arial" w:hAnsi="Arial"/>
                <w:sz w:val="20"/>
              </w:rPr>
            </w:pPr>
            <w:r>
              <w:rPr>
                <w:rFonts w:ascii="Arial" w:hAnsi="Arial"/>
                <w:sz w:val="20"/>
              </w:rPr>
              <w:t>Praticamente não existe concorrência</w:t>
            </w:r>
          </w:p>
        </w:tc>
      </w:tr>
      <w:tr w:rsidR="005D03A4" w:rsidTr="00DF5A8B">
        <w:tc>
          <w:tcPr>
            <w:tcW w:w="2250" w:type="dxa"/>
            <w:tcBorders>
              <w:top w:val="single" w:sz="4" w:space="0" w:color="000000"/>
              <w:left w:val="single" w:sz="4" w:space="0" w:color="000000"/>
              <w:bottom w:val="single" w:sz="4" w:space="0" w:color="000000"/>
            </w:tcBorders>
            <w:vAlign w:val="center"/>
          </w:tcPr>
          <w:p w:rsidR="005D03A4" w:rsidRDefault="005D03A4" w:rsidP="00DF5A8B">
            <w:pPr>
              <w:pStyle w:val="Corpodetexto31"/>
              <w:snapToGrid w:val="0"/>
              <w:jc w:val="center"/>
              <w:rPr>
                <w:rFonts w:ascii="Arial" w:hAnsi="Arial"/>
                <w:sz w:val="20"/>
              </w:rPr>
            </w:pPr>
            <w:r>
              <w:rPr>
                <w:rFonts w:ascii="Arial" w:hAnsi="Arial"/>
                <w:sz w:val="20"/>
              </w:rPr>
              <w:t>ICP &gt; 1%</w:t>
            </w:r>
          </w:p>
        </w:tc>
        <w:tc>
          <w:tcPr>
            <w:tcW w:w="2250" w:type="dxa"/>
            <w:tcBorders>
              <w:top w:val="single" w:sz="4" w:space="0" w:color="000000"/>
              <w:left w:val="single" w:sz="4" w:space="0" w:color="000000"/>
              <w:bottom w:val="single" w:sz="4" w:space="0" w:color="000000"/>
            </w:tcBorders>
            <w:vAlign w:val="center"/>
          </w:tcPr>
          <w:p w:rsidR="005D03A4" w:rsidRDefault="005D03A4" w:rsidP="00DF5A8B">
            <w:pPr>
              <w:pStyle w:val="Corpodetexto31"/>
              <w:snapToGrid w:val="0"/>
              <w:jc w:val="center"/>
              <w:rPr>
                <w:rFonts w:ascii="Arial" w:hAnsi="Arial"/>
                <w:sz w:val="20"/>
              </w:rPr>
            </w:pPr>
            <w:r>
              <w:rPr>
                <w:rFonts w:ascii="Arial" w:hAnsi="Arial"/>
                <w:sz w:val="20"/>
              </w:rPr>
              <w:t>Área de concorrência</w:t>
            </w:r>
          </w:p>
        </w:tc>
        <w:tc>
          <w:tcPr>
            <w:tcW w:w="2250" w:type="dxa"/>
            <w:tcBorders>
              <w:top w:val="single" w:sz="4" w:space="0" w:color="000000"/>
              <w:left w:val="single" w:sz="4" w:space="0" w:color="000000"/>
              <w:bottom w:val="single" w:sz="4" w:space="0" w:color="000000"/>
            </w:tcBorders>
            <w:vAlign w:val="center"/>
          </w:tcPr>
          <w:p w:rsidR="005D03A4" w:rsidRDefault="005D03A4" w:rsidP="00DF5A8B">
            <w:pPr>
              <w:pStyle w:val="Corpodetexto31"/>
              <w:snapToGrid w:val="0"/>
              <w:jc w:val="center"/>
              <w:rPr>
                <w:rFonts w:ascii="Arial" w:hAnsi="Arial"/>
                <w:sz w:val="20"/>
              </w:rPr>
            </w:pPr>
            <w:r>
              <w:rPr>
                <w:rFonts w:ascii="Arial" w:hAnsi="Arial"/>
                <w:sz w:val="20"/>
              </w:rPr>
              <w:t>Os preços não estão fortemente alinhados.</w:t>
            </w:r>
          </w:p>
        </w:tc>
        <w:tc>
          <w:tcPr>
            <w:tcW w:w="2260" w:type="dxa"/>
            <w:tcBorders>
              <w:top w:val="single" w:sz="4" w:space="0" w:color="000000"/>
              <w:left w:val="single" w:sz="4" w:space="0" w:color="000000"/>
              <w:bottom w:val="single" w:sz="4" w:space="0" w:color="000000"/>
              <w:right w:val="single" w:sz="4" w:space="0" w:color="000000"/>
            </w:tcBorders>
            <w:vAlign w:val="center"/>
          </w:tcPr>
          <w:p w:rsidR="005D03A4" w:rsidRDefault="005D03A4" w:rsidP="00DF5A8B">
            <w:pPr>
              <w:pStyle w:val="Corpodetexto31"/>
              <w:snapToGrid w:val="0"/>
              <w:jc w:val="center"/>
              <w:rPr>
                <w:rFonts w:ascii="Arial" w:hAnsi="Arial"/>
                <w:sz w:val="20"/>
              </w:rPr>
            </w:pPr>
            <w:r>
              <w:rPr>
                <w:rFonts w:ascii="Arial" w:hAnsi="Arial"/>
                <w:sz w:val="20"/>
              </w:rPr>
              <w:t>Existe concorrência</w:t>
            </w:r>
          </w:p>
        </w:tc>
      </w:tr>
    </w:tbl>
    <w:p w:rsidR="005D03A4" w:rsidRDefault="005D03A4" w:rsidP="005D03A4">
      <w:pPr>
        <w:pStyle w:val="Corpodetexto31"/>
        <w:jc w:val="both"/>
        <w:rPr>
          <w:rFonts w:ascii="Arial" w:hAnsi="Arial"/>
          <w:sz w:val="18"/>
        </w:rPr>
      </w:pPr>
      <w:r>
        <w:rPr>
          <w:rFonts w:ascii="Arial" w:hAnsi="Arial"/>
          <w:b/>
          <w:sz w:val="18"/>
        </w:rPr>
        <w:t xml:space="preserve">Fonte: </w:t>
      </w:r>
      <w:r>
        <w:rPr>
          <w:rFonts w:ascii="Arial" w:hAnsi="Arial"/>
          <w:sz w:val="18"/>
        </w:rPr>
        <w:t>CIP/ICEAC da FURG</w:t>
      </w:r>
    </w:p>
    <w:p w:rsidR="005D03A4" w:rsidRDefault="005D03A4" w:rsidP="005D03A4">
      <w:pPr>
        <w:pStyle w:val="Corpodetexto31"/>
        <w:jc w:val="both"/>
        <w:rPr>
          <w:rFonts w:ascii="Arial" w:hAnsi="Arial"/>
          <w:sz w:val="18"/>
        </w:rPr>
      </w:pPr>
      <w:r>
        <w:rPr>
          <w:rFonts w:ascii="Arial" w:hAnsi="Arial"/>
          <w:b/>
          <w:sz w:val="18"/>
        </w:rPr>
        <w:t xml:space="preserve">Obs.: </w:t>
      </w:r>
      <w:r>
        <w:rPr>
          <w:rFonts w:ascii="Arial" w:hAnsi="Arial"/>
          <w:sz w:val="18"/>
        </w:rPr>
        <w:t>A área denominada como não-concorrência contempla as situações de cartel tácito e explícito.</w:t>
      </w:r>
    </w:p>
    <w:p w:rsidR="0073207E" w:rsidRPr="00E424DA" w:rsidRDefault="0073207E" w:rsidP="001A10FF">
      <w:pPr>
        <w:ind w:firstLine="0"/>
        <w:jc w:val="left"/>
        <w:rPr>
          <w:rFonts w:cs="Arial"/>
          <w:sz w:val="22"/>
          <w:szCs w:val="22"/>
        </w:rPr>
      </w:pPr>
    </w:p>
    <w:p w:rsidR="009D0723" w:rsidRPr="00E424DA" w:rsidRDefault="001A10FF" w:rsidP="0029083B">
      <w:pPr>
        <w:pStyle w:val="Ttulodaseoprimria"/>
        <w:rPr>
          <w:rFonts w:cs="Arial"/>
          <w:sz w:val="22"/>
          <w:szCs w:val="22"/>
        </w:rPr>
      </w:pPr>
      <w:r w:rsidRPr="00E424DA">
        <w:rPr>
          <w:rFonts w:cs="Arial"/>
          <w:sz w:val="22"/>
          <w:szCs w:val="22"/>
        </w:rPr>
        <w:t>3</w:t>
      </w:r>
      <w:r w:rsidR="0036728F">
        <w:rPr>
          <w:rFonts w:cs="Arial"/>
          <w:sz w:val="22"/>
          <w:szCs w:val="22"/>
        </w:rPr>
        <w:t xml:space="preserve"> </w:t>
      </w:r>
      <w:r w:rsidR="0029083B" w:rsidRPr="00E424DA">
        <w:rPr>
          <w:rFonts w:cs="Arial"/>
          <w:sz w:val="22"/>
          <w:szCs w:val="22"/>
        </w:rPr>
        <w:t>PROCEDIMENTO METODOLÓGICO</w:t>
      </w:r>
    </w:p>
    <w:p w:rsidR="00B01B52" w:rsidRPr="00E424DA" w:rsidRDefault="00B01B52" w:rsidP="00B01B52"/>
    <w:p w:rsidR="00B373EE" w:rsidRPr="00B373EE" w:rsidRDefault="005E20C1" w:rsidP="00B373EE">
      <w:pPr>
        <w:spacing w:line="360" w:lineRule="auto"/>
        <w:ind w:firstLine="360"/>
        <w:rPr>
          <w:rFonts w:cs="Arial"/>
          <w:sz w:val="20"/>
          <w:szCs w:val="20"/>
        </w:rPr>
      </w:pPr>
      <w:r>
        <w:rPr>
          <w:rFonts w:cs="Arial"/>
          <w:sz w:val="20"/>
          <w:szCs w:val="20"/>
        </w:rPr>
        <w:t>A partir dos dados f</w:t>
      </w:r>
      <w:r w:rsidR="00B373EE" w:rsidRPr="00B373EE">
        <w:rPr>
          <w:rFonts w:cs="Arial"/>
          <w:sz w:val="20"/>
          <w:szCs w:val="20"/>
        </w:rPr>
        <w:t xml:space="preserve">ornecidos pela ANP em seu site, </w:t>
      </w:r>
      <w:r w:rsidR="00B373EE">
        <w:rPr>
          <w:rFonts w:cs="Arial"/>
          <w:sz w:val="20"/>
          <w:szCs w:val="20"/>
        </w:rPr>
        <w:t>será apresentado</w:t>
      </w:r>
      <w:r w:rsidR="000213AD">
        <w:rPr>
          <w:rFonts w:cs="Arial"/>
          <w:sz w:val="20"/>
          <w:szCs w:val="20"/>
        </w:rPr>
        <w:t xml:space="preserve"> o comportamento</w:t>
      </w:r>
      <w:r w:rsidR="00B373EE">
        <w:rPr>
          <w:rFonts w:cs="Arial"/>
          <w:sz w:val="20"/>
          <w:szCs w:val="20"/>
        </w:rPr>
        <w:t xml:space="preserve"> </w:t>
      </w:r>
      <w:r w:rsidR="000213AD">
        <w:rPr>
          <w:rFonts w:cs="Arial"/>
          <w:sz w:val="20"/>
          <w:szCs w:val="20"/>
        </w:rPr>
        <w:t xml:space="preserve">do ICP </w:t>
      </w:r>
      <w:r w:rsidR="00B373EE">
        <w:rPr>
          <w:rFonts w:cs="Arial"/>
          <w:sz w:val="20"/>
          <w:szCs w:val="20"/>
        </w:rPr>
        <w:t xml:space="preserve">no primeiro semestre de 2014 </w:t>
      </w:r>
      <w:r w:rsidR="000213AD">
        <w:rPr>
          <w:rFonts w:cs="Arial"/>
          <w:sz w:val="20"/>
          <w:szCs w:val="20"/>
        </w:rPr>
        <w:t xml:space="preserve">dentre </w:t>
      </w:r>
      <w:r w:rsidR="00B373EE">
        <w:rPr>
          <w:rFonts w:cs="Arial"/>
          <w:sz w:val="20"/>
          <w:szCs w:val="20"/>
        </w:rPr>
        <w:t>as principais</w:t>
      </w:r>
      <w:r w:rsidR="00B373EE" w:rsidRPr="00B373EE">
        <w:rPr>
          <w:rFonts w:cs="Arial"/>
          <w:sz w:val="20"/>
          <w:szCs w:val="20"/>
        </w:rPr>
        <w:t xml:space="preserve"> cidades</w:t>
      </w:r>
      <w:r w:rsidR="00576640">
        <w:rPr>
          <w:rFonts w:cs="Arial"/>
          <w:sz w:val="20"/>
          <w:szCs w:val="20"/>
        </w:rPr>
        <w:t xml:space="preserve"> do estado do Rio Grande do Sul</w:t>
      </w:r>
      <w:r w:rsidR="000213AD">
        <w:rPr>
          <w:rFonts w:cs="Arial"/>
          <w:sz w:val="20"/>
          <w:szCs w:val="20"/>
        </w:rPr>
        <w:t xml:space="preserve"> - </w:t>
      </w:r>
      <w:r w:rsidR="000213AD" w:rsidRPr="00C70819">
        <w:rPr>
          <w:rFonts w:cs="Arial"/>
          <w:sz w:val="20"/>
          <w:szCs w:val="20"/>
        </w:rPr>
        <w:t>Rio Grande, Pelotas, Porto Alegre, Caxias do Sul, Santa Maria, Lajeado e Erechim</w:t>
      </w:r>
      <w:r w:rsidR="00576640">
        <w:rPr>
          <w:rFonts w:cs="Arial"/>
          <w:sz w:val="20"/>
          <w:szCs w:val="20"/>
        </w:rPr>
        <w:t>. Também ser</w:t>
      </w:r>
      <w:r>
        <w:rPr>
          <w:rFonts w:cs="Arial"/>
          <w:sz w:val="20"/>
          <w:szCs w:val="20"/>
        </w:rPr>
        <w:t>ão</w:t>
      </w:r>
      <w:r w:rsidR="00576640">
        <w:rPr>
          <w:rFonts w:cs="Arial"/>
          <w:sz w:val="20"/>
          <w:szCs w:val="20"/>
        </w:rPr>
        <w:t xml:space="preserve"> apresentado</w:t>
      </w:r>
      <w:r>
        <w:rPr>
          <w:rFonts w:cs="Arial"/>
          <w:sz w:val="20"/>
          <w:szCs w:val="20"/>
        </w:rPr>
        <w:t>s</w:t>
      </w:r>
      <w:r w:rsidR="00576640">
        <w:rPr>
          <w:rFonts w:cs="Arial"/>
          <w:sz w:val="20"/>
          <w:szCs w:val="20"/>
        </w:rPr>
        <w:t xml:space="preserve"> </w:t>
      </w:r>
      <w:r>
        <w:rPr>
          <w:rFonts w:cs="Arial"/>
          <w:sz w:val="20"/>
          <w:szCs w:val="20"/>
        </w:rPr>
        <w:t xml:space="preserve">os </w:t>
      </w:r>
      <w:r w:rsidR="00576640">
        <w:rPr>
          <w:rFonts w:cs="Arial"/>
          <w:sz w:val="20"/>
          <w:szCs w:val="20"/>
        </w:rPr>
        <w:t xml:space="preserve">resultados </w:t>
      </w:r>
      <w:r>
        <w:rPr>
          <w:rFonts w:cs="Arial"/>
          <w:sz w:val="20"/>
          <w:szCs w:val="20"/>
        </w:rPr>
        <w:t xml:space="preserve">encontrados quanto à relação entre o tamanho da frota de veículos das </w:t>
      </w:r>
      <w:r w:rsidR="000213AD">
        <w:rPr>
          <w:rFonts w:cs="Arial"/>
          <w:sz w:val="20"/>
          <w:szCs w:val="20"/>
        </w:rPr>
        <w:t>capitais brasileiras</w:t>
      </w:r>
      <w:r>
        <w:rPr>
          <w:rFonts w:cs="Arial"/>
          <w:sz w:val="20"/>
          <w:szCs w:val="20"/>
        </w:rPr>
        <w:t xml:space="preserve"> </w:t>
      </w:r>
      <w:r w:rsidR="000213AD">
        <w:rPr>
          <w:rFonts w:cs="Arial"/>
          <w:sz w:val="20"/>
          <w:szCs w:val="20"/>
        </w:rPr>
        <w:t>com o nível de concorrência verificado nestas mesmas cidades.</w:t>
      </w:r>
    </w:p>
    <w:p w:rsidR="00B01B52" w:rsidRPr="00E424DA" w:rsidRDefault="00B01B52" w:rsidP="0029083B">
      <w:pPr>
        <w:pStyle w:val="Ttulodaseoprimria"/>
        <w:rPr>
          <w:rFonts w:cs="Arial"/>
          <w:b w:val="0"/>
          <w:sz w:val="22"/>
          <w:szCs w:val="22"/>
        </w:rPr>
      </w:pPr>
    </w:p>
    <w:p w:rsidR="009D0723" w:rsidRPr="00E424DA" w:rsidRDefault="001A10FF" w:rsidP="0029083B">
      <w:pPr>
        <w:pStyle w:val="Ttulodaseoprimria"/>
        <w:rPr>
          <w:rFonts w:cs="Arial"/>
          <w:sz w:val="22"/>
          <w:szCs w:val="22"/>
        </w:rPr>
      </w:pPr>
      <w:r w:rsidRPr="00E424DA">
        <w:rPr>
          <w:rFonts w:cs="Arial"/>
          <w:sz w:val="22"/>
          <w:szCs w:val="22"/>
        </w:rPr>
        <w:t>4</w:t>
      </w:r>
      <w:r w:rsidR="0036728F">
        <w:rPr>
          <w:rFonts w:cs="Arial"/>
          <w:sz w:val="22"/>
          <w:szCs w:val="22"/>
        </w:rPr>
        <w:t xml:space="preserve"> </w:t>
      </w:r>
      <w:r w:rsidR="0029083B" w:rsidRPr="00E424DA">
        <w:rPr>
          <w:rFonts w:cs="Arial"/>
          <w:sz w:val="22"/>
          <w:szCs w:val="22"/>
        </w:rPr>
        <w:t xml:space="preserve">RESULTADOS </w:t>
      </w:r>
      <w:r w:rsidR="009F1118" w:rsidRPr="00E424DA">
        <w:rPr>
          <w:rFonts w:cs="Arial"/>
          <w:sz w:val="22"/>
          <w:szCs w:val="22"/>
        </w:rPr>
        <w:t>e</w:t>
      </w:r>
      <w:r w:rsidR="0029083B" w:rsidRPr="00E424DA">
        <w:rPr>
          <w:rFonts w:cs="Arial"/>
          <w:sz w:val="22"/>
          <w:szCs w:val="22"/>
        </w:rPr>
        <w:t xml:space="preserve"> DISCUSSÃO </w:t>
      </w:r>
    </w:p>
    <w:p w:rsidR="006170F5" w:rsidRPr="00E424DA" w:rsidRDefault="006170F5" w:rsidP="00940DCB">
      <w:pPr>
        <w:spacing w:line="360" w:lineRule="auto"/>
        <w:rPr>
          <w:rFonts w:cs="Arial"/>
          <w:sz w:val="22"/>
          <w:szCs w:val="22"/>
        </w:rPr>
      </w:pPr>
    </w:p>
    <w:p w:rsidR="002A70C2" w:rsidRPr="00C70819" w:rsidRDefault="000213AD" w:rsidP="00940DCB">
      <w:pPr>
        <w:spacing w:line="360" w:lineRule="auto"/>
        <w:ind w:firstLine="708"/>
        <w:rPr>
          <w:rFonts w:cs="Arial"/>
          <w:sz w:val="20"/>
          <w:szCs w:val="20"/>
        </w:rPr>
      </w:pPr>
      <w:r>
        <w:rPr>
          <w:rFonts w:cs="Arial"/>
          <w:sz w:val="20"/>
          <w:szCs w:val="20"/>
        </w:rPr>
        <w:t xml:space="preserve">A evolução do ICP mensal nas cidades gaúchas selecionadas está descrito na Tabela 2. </w:t>
      </w:r>
      <w:r w:rsidR="00DF5A8B">
        <w:rPr>
          <w:rFonts w:cs="Arial"/>
          <w:sz w:val="20"/>
          <w:szCs w:val="20"/>
        </w:rPr>
        <w:t xml:space="preserve">A segunda coluna da tabela mostra ainda a frota de veículos em cada município e a </w:t>
      </w:r>
      <w:r>
        <w:rPr>
          <w:rFonts w:cs="Arial"/>
          <w:sz w:val="20"/>
          <w:szCs w:val="20"/>
        </w:rPr>
        <w:t xml:space="preserve">última coluna da tabela </w:t>
      </w:r>
      <w:r w:rsidR="00DF5A8B">
        <w:rPr>
          <w:rFonts w:cs="Arial"/>
          <w:sz w:val="20"/>
          <w:szCs w:val="20"/>
        </w:rPr>
        <w:t>descreve</w:t>
      </w:r>
      <w:r>
        <w:rPr>
          <w:rFonts w:cs="Arial"/>
          <w:sz w:val="20"/>
          <w:szCs w:val="20"/>
        </w:rPr>
        <w:t xml:space="preserve"> o comportamento médio do alinhamento dos preços da gasolina comum no semestre.</w:t>
      </w:r>
    </w:p>
    <w:p w:rsidR="00576640" w:rsidRPr="00C70819" w:rsidRDefault="00576640" w:rsidP="00940DCB">
      <w:pPr>
        <w:spacing w:line="360" w:lineRule="auto"/>
        <w:rPr>
          <w:rFonts w:cs="Arial"/>
          <w:sz w:val="20"/>
          <w:szCs w:val="20"/>
        </w:rPr>
      </w:pPr>
    </w:p>
    <w:tbl>
      <w:tblPr>
        <w:tblW w:w="0" w:type="auto"/>
        <w:jc w:val="center"/>
        <w:tblCellMar>
          <w:left w:w="70" w:type="dxa"/>
          <w:right w:w="70" w:type="dxa"/>
        </w:tblCellMar>
        <w:tblLook w:val="04A0"/>
      </w:tblPr>
      <w:tblGrid>
        <w:gridCol w:w="1452"/>
        <w:gridCol w:w="863"/>
        <w:gridCol w:w="852"/>
        <w:gridCol w:w="1041"/>
        <w:gridCol w:w="730"/>
        <w:gridCol w:w="596"/>
        <w:gridCol w:w="596"/>
        <w:gridCol w:w="740"/>
        <w:gridCol w:w="707"/>
      </w:tblGrid>
      <w:tr w:rsidR="00DF5A8B" w:rsidRPr="00576640" w:rsidTr="00AB7573">
        <w:trPr>
          <w:trHeight w:val="300"/>
          <w:jc w:val="center"/>
        </w:trPr>
        <w:tc>
          <w:tcPr>
            <w:tcW w:w="0" w:type="auto"/>
            <w:gridSpan w:val="9"/>
            <w:tcBorders>
              <w:bottom w:val="single" w:sz="4" w:space="0" w:color="auto"/>
            </w:tcBorders>
            <w:shd w:val="clear" w:color="auto" w:fill="auto"/>
            <w:noWrap/>
            <w:vAlign w:val="center"/>
            <w:hideMark/>
          </w:tcPr>
          <w:p w:rsidR="00DF5A8B" w:rsidRPr="00576640" w:rsidRDefault="00AB7573" w:rsidP="00DF5A8B">
            <w:pPr>
              <w:widowControl/>
              <w:suppressAutoHyphens w:val="0"/>
              <w:ind w:firstLine="0"/>
              <w:jc w:val="center"/>
              <w:rPr>
                <w:rFonts w:eastAsia="Times New Roman" w:cs="Arial"/>
                <w:b/>
                <w:bCs/>
                <w:color w:val="000000"/>
                <w:kern w:val="0"/>
                <w:sz w:val="20"/>
                <w:szCs w:val="20"/>
              </w:rPr>
            </w:pPr>
            <w:r w:rsidRPr="00C70819">
              <w:rPr>
                <w:rFonts w:eastAsia="Times New Roman" w:cs="Arial"/>
                <w:b/>
                <w:bCs/>
                <w:color w:val="000000"/>
                <w:kern w:val="0"/>
                <w:sz w:val="20"/>
                <w:szCs w:val="20"/>
              </w:rPr>
              <w:t>TABELA</w:t>
            </w:r>
            <w:r w:rsidR="00DF5A8B" w:rsidRPr="00C70819">
              <w:rPr>
                <w:rFonts w:eastAsia="Times New Roman" w:cs="Arial"/>
                <w:b/>
                <w:bCs/>
                <w:color w:val="000000"/>
                <w:kern w:val="0"/>
                <w:sz w:val="20"/>
                <w:szCs w:val="20"/>
              </w:rPr>
              <w:t xml:space="preserve"> 2 – </w:t>
            </w:r>
            <w:r w:rsidR="00DF5A8B" w:rsidRPr="00AB7573">
              <w:rPr>
                <w:rFonts w:eastAsia="Times New Roman" w:cs="Arial"/>
                <w:bCs/>
                <w:color w:val="000000"/>
                <w:kern w:val="0"/>
                <w:sz w:val="20"/>
                <w:szCs w:val="20"/>
              </w:rPr>
              <w:t>ICP para o combustível gasolina comum - 1º semestre de 2014</w:t>
            </w:r>
          </w:p>
        </w:tc>
      </w:tr>
      <w:tr w:rsidR="00DF5A8B" w:rsidRPr="00576640" w:rsidTr="00AB7573">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b/>
                <w:bCs/>
                <w:color w:val="000000"/>
                <w:kern w:val="0"/>
                <w:sz w:val="20"/>
                <w:szCs w:val="20"/>
              </w:rPr>
            </w:pPr>
          </w:p>
        </w:tc>
        <w:tc>
          <w:tcPr>
            <w:tcW w:w="0" w:type="auto"/>
            <w:tcBorders>
              <w:top w:val="single" w:sz="4" w:space="0" w:color="auto"/>
              <w:left w:val="nil"/>
              <w:bottom w:val="single" w:sz="4" w:space="0" w:color="auto"/>
              <w:right w:val="single" w:sz="4" w:space="0" w:color="auto"/>
            </w:tcBorders>
            <w:vAlign w:val="center"/>
          </w:tcPr>
          <w:p w:rsidR="00DF5A8B" w:rsidRPr="00576640" w:rsidRDefault="00DF5A8B" w:rsidP="00DF5A8B">
            <w:pPr>
              <w:widowControl/>
              <w:suppressAutoHyphens w:val="0"/>
              <w:ind w:firstLine="0"/>
              <w:jc w:val="center"/>
              <w:rPr>
                <w:rFonts w:eastAsia="Times New Roman" w:cs="Arial"/>
                <w:b/>
                <w:bCs/>
                <w:color w:val="000000"/>
                <w:kern w:val="0"/>
                <w:sz w:val="20"/>
                <w:szCs w:val="20"/>
              </w:rPr>
            </w:pPr>
            <w:r>
              <w:rPr>
                <w:rFonts w:eastAsia="Times New Roman" w:cs="Arial"/>
                <w:b/>
                <w:bCs/>
                <w:color w:val="000000"/>
                <w:kern w:val="0"/>
                <w:sz w:val="20"/>
                <w:szCs w:val="20"/>
              </w:rPr>
              <w:t>Frota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b/>
                <w:bCs/>
                <w:color w:val="000000"/>
                <w:kern w:val="0"/>
                <w:sz w:val="20"/>
                <w:szCs w:val="20"/>
              </w:rPr>
            </w:pPr>
            <w:r w:rsidRPr="00576640">
              <w:rPr>
                <w:rFonts w:eastAsia="Times New Roman" w:cs="Arial"/>
                <w:b/>
                <w:bCs/>
                <w:color w:val="000000"/>
                <w:kern w:val="0"/>
                <w:sz w:val="20"/>
                <w:szCs w:val="20"/>
              </w:rPr>
              <w:t>Janeiro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b/>
                <w:bCs/>
                <w:color w:val="000000"/>
                <w:kern w:val="0"/>
                <w:sz w:val="20"/>
                <w:szCs w:val="20"/>
              </w:rPr>
            </w:pPr>
            <w:r w:rsidRPr="00576640">
              <w:rPr>
                <w:rFonts w:eastAsia="Times New Roman" w:cs="Arial"/>
                <w:b/>
                <w:bCs/>
                <w:color w:val="000000"/>
                <w:kern w:val="0"/>
                <w:sz w:val="20"/>
                <w:szCs w:val="20"/>
              </w:rPr>
              <w:t>Fevereiro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b/>
                <w:bCs/>
                <w:color w:val="000000"/>
                <w:kern w:val="0"/>
                <w:sz w:val="20"/>
                <w:szCs w:val="20"/>
              </w:rPr>
            </w:pPr>
            <w:r w:rsidRPr="00576640">
              <w:rPr>
                <w:rFonts w:eastAsia="Times New Roman" w:cs="Arial"/>
                <w:b/>
                <w:bCs/>
                <w:color w:val="000000"/>
                <w:kern w:val="0"/>
                <w:sz w:val="20"/>
                <w:szCs w:val="20"/>
              </w:rPr>
              <w:t>Março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b/>
                <w:bCs/>
                <w:color w:val="000000"/>
                <w:kern w:val="0"/>
                <w:sz w:val="20"/>
                <w:szCs w:val="20"/>
              </w:rPr>
            </w:pPr>
            <w:r w:rsidRPr="00576640">
              <w:rPr>
                <w:rFonts w:eastAsia="Times New Roman" w:cs="Arial"/>
                <w:b/>
                <w:bCs/>
                <w:color w:val="000000"/>
                <w:kern w:val="0"/>
                <w:sz w:val="20"/>
                <w:szCs w:val="20"/>
              </w:rPr>
              <w:t>Abril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b/>
                <w:bCs/>
                <w:color w:val="000000"/>
                <w:kern w:val="0"/>
                <w:sz w:val="20"/>
                <w:szCs w:val="20"/>
              </w:rPr>
            </w:pPr>
            <w:r w:rsidRPr="00576640">
              <w:rPr>
                <w:rFonts w:eastAsia="Times New Roman" w:cs="Arial"/>
                <w:b/>
                <w:bCs/>
                <w:color w:val="000000"/>
                <w:kern w:val="0"/>
                <w:sz w:val="20"/>
                <w:szCs w:val="20"/>
              </w:rPr>
              <w:t>Maio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b/>
                <w:bCs/>
                <w:color w:val="000000"/>
                <w:kern w:val="0"/>
                <w:sz w:val="20"/>
                <w:szCs w:val="20"/>
              </w:rPr>
            </w:pPr>
            <w:r w:rsidRPr="00576640">
              <w:rPr>
                <w:rFonts w:eastAsia="Times New Roman" w:cs="Arial"/>
                <w:b/>
                <w:bCs/>
                <w:color w:val="000000"/>
                <w:kern w:val="0"/>
                <w:sz w:val="20"/>
                <w:szCs w:val="20"/>
              </w:rPr>
              <w:t>Junho</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b/>
                <w:bCs/>
                <w:color w:val="000000"/>
                <w:kern w:val="0"/>
                <w:sz w:val="20"/>
                <w:szCs w:val="20"/>
              </w:rPr>
            </w:pPr>
            <w:r w:rsidRPr="00576640">
              <w:rPr>
                <w:rFonts w:eastAsia="Times New Roman" w:cs="Arial"/>
                <w:b/>
                <w:bCs/>
                <w:color w:val="000000"/>
                <w:kern w:val="0"/>
                <w:sz w:val="20"/>
                <w:szCs w:val="20"/>
              </w:rPr>
              <w:t>Média</w:t>
            </w:r>
          </w:p>
        </w:tc>
      </w:tr>
      <w:tr w:rsidR="00DF5A8B" w:rsidRPr="00576640" w:rsidTr="00DF5A8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b/>
                <w:bCs/>
                <w:color w:val="000000"/>
                <w:kern w:val="0"/>
                <w:sz w:val="20"/>
                <w:szCs w:val="20"/>
              </w:rPr>
            </w:pPr>
            <w:r w:rsidRPr="00576640">
              <w:rPr>
                <w:rFonts w:eastAsia="Times New Roman" w:cs="Arial"/>
                <w:b/>
                <w:bCs/>
                <w:color w:val="000000"/>
                <w:kern w:val="0"/>
                <w:sz w:val="20"/>
                <w:szCs w:val="20"/>
              </w:rPr>
              <w:t>Rio Grande</w:t>
            </w:r>
          </w:p>
        </w:tc>
        <w:tc>
          <w:tcPr>
            <w:tcW w:w="0" w:type="auto"/>
            <w:tcBorders>
              <w:top w:val="nil"/>
              <w:left w:val="nil"/>
              <w:bottom w:val="single" w:sz="4" w:space="0" w:color="auto"/>
              <w:right w:val="single" w:sz="4" w:space="0" w:color="auto"/>
            </w:tcBorders>
            <w:vAlign w:val="center"/>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DF5A8B">
              <w:rPr>
                <w:rFonts w:eastAsia="Times New Roman" w:cs="Arial"/>
                <w:color w:val="000000"/>
                <w:kern w:val="0"/>
                <w:sz w:val="20"/>
                <w:szCs w:val="20"/>
              </w:rPr>
              <w:t>107</w:t>
            </w:r>
            <w:r>
              <w:rPr>
                <w:rFonts w:eastAsia="Times New Roman" w:cs="Arial"/>
                <w:color w:val="000000"/>
                <w:kern w:val="0"/>
                <w:sz w:val="20"/>
                <w:szCs w:val="20"/>
              </w:rPr>
              <w:t>.</w:t>
            </w:r>
            <w:r w:rsidRPr="00DF5A8B">
              <w:rPr>
                <w:rFonts w:eastAsia="Times New Roman" w:cs="Arial"/>
                <w:color w:val="000000"/>
                <w:kern w:val="0"/>
                <w:sz w:val="20"/>
                <w:szCs w:val="20"/>
              </w:rPr>
              <w:t>643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0,59</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0,32</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0,88</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0,95</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1,01</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0,98</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b/>
                <w:bCs/>
                <w:color w:val="000000"/>
                <w:kern w:val="0"/>
                <w:sz w:val="20"/>
                <w:szCs w:val="20"/>
              </w:rPr>
            </w:pPr>
            <w:r w:rsidRPr="00576640">
              <w:rPr>
                <w:rFonts w:eastAsia="Times New Roman" w:cs="Arial"/>
                <w:b/>
                <w:bCs/>
                <w:color w:val="000000"/>
                <w:kern w:val="0"/>
                <w:sz w:val="20"/>
                <w:szCs w:val="20"/>
              </w:rPr>
              <w:t>0,79</w:t>
            </w:r>
          </w:p>
        </w:tc>
      </w:tr>
      <w:tr w:rsidR="00DF5A8B" w:rsidRPr="00576640" w:rsidTr="00DF5A8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b/>
                <w:bCs/>
                <w:color w:val="000000"/>
                <w:kern w:val="0"/>
                <w:sz w:val="20"/>
                <w:szCs w:val="20"/>
              </w:rPr>
            </w:pPr>
            <w:r w:rsidRPr="00576640">
              <w:rPr>
                <w:rFonts w:eastAsia="Times New Roman" w:cs="Arial"/>
                <w:b/>
                <w:bCs/>
                <w:color w:val="000000"/>
                <w:kern w:val="0"/>
                <w:sz w:val="20"/>
                <w:szCs w:val="20"/>
              </w:rPr>
              <w:t>Pelotas</w:t>
            </w:r>
          </w:p>
        </w:tc>
        <w:tc>
          <w:tcPr>
            <w:tcW w:w="0" w:type="auto"/>
            <w:tcBorders>
              <w:top w:val="nil"/>
              <w:left w:val="nil"/>
              <w:bottom w:val="single" w:sz="4" w:space="0" w:color="auto"/>
              <w:right w:val="single" w:sz="4" w:space="0" w:color="auto"/>
            </w:tcBorders>
            <w:vAlign w:val="center"/>
          </w:tcPr>
          <w:p w:rsidR="00DF5A8B" w:rsidRPr="00576640" w:rsidRDefault="00DF5A8B" w:rsidP="00DF5A8B">
            <w:pPr>
              <w:widowControl/>
              <w:suppressAutoHyphens w:val="0"/>
              <w:ind w:firstLine="0"/>
              <w:jc w:val="center"/>
              <w:rPr>
                <w:rFonts w:eastAsia="Times New Roman" w:cs="Arial"/>
                <w:color w:val="000000"/>
                <w:kern w:val="0"/>
                <w:sz w:val="20"/>
                <w:szCs w:val="20"/>
              </w:rPr>
            </w:pPr>
            <w:r>
              <w:rPr>
                <w:rFonts w:eastAsia="Times New Roman" w:cs="Arial"/>
                <w:color w:val="000000"/>
                <w:kern w:val="0"/>
                <w:sz w:val="20"/>
                <w:szCs w:val="20"/>
              </w:rPr>
              <w:t>185.241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1,22</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1,22</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1,06</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1,22</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1,09</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0,87</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b/>
                <w:bCs/>
                <w:color w:val="000000"/>
                <w:kern w:val="0"/>
                <w:sz w:val="20"/>
                <w:szCs w:val="20"/>
              </w:rPr>
            </w:pPr>
            <w:r w:rsidRPr="00576640">
              <w:rPr>
                <w:rFonts w:eastAsia="Times New Roman" w:cs="Arial"/>
                <w:b/>
                <w:bCs/>
                <w:color w:val="000000"/>
                <w:kern w:val="0"/>
                <w:sz w:val="20"/>
                <w:szCs w:val="20"/>
              </w:rPr>
              <w:t>1,11</w:t>
            </w:r>
          </w:p>
        </w:tc>
      </w:tr>
      <w:tr w:rsidR="00DF5A8B" w:rsidRPr="00576640" w:rsidTr="00DF5A8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b/>
                <w:bCs/>
                <w:color w:val="000000"/>
                <w:kern w:val="0"/>
                <w:sz w:val="20"/>
                <w:szCs w:val="20"/>
              </w:rPr>
            </w:pPr>
            <w:r w:rsidRPr="00576640">
              <w:rPr>
                <w:rFonts w:eastAsia="Times New Roman" w:cs="Arial"/>
                <w:b/>
                <w:bCs/>
                <w:color w:val="000000"/>
                <w:kern w:val="0"/>
                <w:sz w:val="20"/>
                <w:szCs w:val="20"/>
              </w:rPr>
              <w:t>Lajeado</w:t>
            </w:r>
          </w:p>
        </w:tc>
        <w:tc>
          <w:tcPr>
            <w:tcW w:w="0" w:type="auto"/>
            <w:tcBorders>
              <w:top w:val="nil"/>
              <w:left w:val="nil"/>
              <w:bottom w:val="single" w:sz="4" w:space="0" w:color="auto"/>
              <w:right w:val="single" w:sz="4" w:space="0" w:color="auto"/>
            </w:tcBorders>
            <w:vAlign w:val="center"/>
          </w:tcPr>
          <w:p w:rsidR="00DF5A8B" w:rsidRPr="00576640" w:rsidRDefault="00DF5A8B" w:rsidP="00DF5A8B">
            <w:pPr>
              <w:widowControl/>
              <w:suppressAutoHyphens w:val="0"/>
              <w:ind w:firstLine="0"/>
              <w:jc w:val="center"/>
              <w:rPr>
                <w:rFonts w:eastAsia="Times New Roman" w:cs="Arial"/>
                <w:color w:val="000000"/>
                <w:kern w:val="0"/>
                <w:sz w:val="20"/>
                <w:szCs w:val="20"/>
              </w:rPr>
            </w:pPr>
            <w:r>
              <w:rPr>
                <w:rFonts w:eastAsia="Times New Roman" w:cs="Arial"/>
                <w:color w:val="000000"/>
                <w:kern w:val="0"/>
                <w:sz w:val="20"/>
                <w:szCs w:val="20"/>
              </w:rPr>
              <w:t>58.379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1,37</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1,23</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0,9</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1,07</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1,07</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1,13</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b/>
                <w:bCs/>
                <w:color w:val="000000"/>
                <w:kern w:val="0"/>
                <w:sz w:val="20"/>
                <w:szCs w:val="20"/>
              </w:rPr>
            </w:pPr>
            <w:r w:rsidRPr="00576640">
              <w:rPr>
                <w:rFonts w:eastAsia="Times New Roman" w:cs="Arial"/>
                <w:b/>
                <w:bCs/>
                <w:color w:val="000000"/>
                <w:kern w:val="0"/>
                <w:sz w:val="20"/>
                <w:szCs w:val="20"/>
              </w:rPr>
              <w:t>1,13</w:t>
            </w:r>
          </w:p>
        </w:tc>
      </w:tr>
      <w:tr w:rsidR="00DF5A8B" w:rsidRPr="00576640" w:rsidTr="00DF5A8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b/>
                <w:bCs/>
                <w:color w:val="000000"/>
                <w:kern w:val="0"/>
                <w:sz w:val="20"/>
                <w:szCs w:val="20"/>
              </w:rPr>
            </w:pPr>
            <w:r w:rsidRPr="00576640">
              <w:rPr>
                <w:rFonts w:eastAsia="Times New Roman" w:cs="Arial"/>
                <w:b/>
                <w:bCs/>
                <w:color w:val="000000"/>
                <w:kern w:val="0"/>
                <w:sz w:val="20"/>
                <w:szCs w:val="20"/>
              </w:rPr>
              <w:t>Caxias do Sul</w:t>
            </w:r>
          </w:p>
        </w:tc>
        <w:tc>
          <w:tcPr>
            <w:tcW w:w="0" w:type="auto"/>
            <w:tcBorders>
              <w:top w:val="nil"/>
              <w:left w:val="nil"/>
              <w:bottom w:val="single" w:sz="4" w:space="0" w:color="auto"/>
              <w:right w:val="single" w:sz="4" w:space="0" w:color="auto"/>
            </w:tcBorders>
            <w:vAlign w:val="center"/>
          </w:tcPr>
          <w:p w:rsidR="00DF5A8B" w:rsidRPr="00576640" w:rsidRDefault="00DF5A8B" w:rsidP="00DF5A8B">
            <w:pPr>
              <w:widowControl/>
              <w:suppressAutoHyphens w:val="0"/>
              <w:ind w:firstLine="0"/>
              <w:jc w:val="center"/>
              <w:rPr>
                <w:rFonts w:eastAsia="Times New Roman" w:cs="Arial"/>
                <w:color w:val="000000"/>
                <w:kern w:val="0"/>
                <w:sz w:val="20"/>
                <w:szCs w:val="20"/>
              </w:rPr>
            </w:pPr>
            <w:r>
              <w:rPr>
                <w:rFonts w:eastAsia="Times New Roman" w:cs="Arial"/>
                <w:color w:val="000000"/>
                <w:kern w:val="0"/>
                <w:sz w:val="20"/>
                <w:szCs w:val="20"/>
              </w:rPr>
              <w:t>290.133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1</w:t>
            </w:r>
            <w:r>
              <w:rPr>
                <w:rFonts w:eastAsia="Times New Roman" w:cs="Arial"/>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1,69</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1,62</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2.05</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1,89</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1,46</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b/>
                <w:bCs/>
                <w:color w:val="000000"/>
                <w:kern w:val="0"/>
                <w:sz w:val="20"/>
                <w:szCs w:val="20"/>
              </w:rPr>
            </w:pPr>
            <w:r w:rsidRPr="00576640">
              <w:rPr>
                <w:rFonts w:eastAsia="Times New Roman" w:cs="Arial"/>
                <w:b/>
                <w:bCs/>
                <w:color w:val="000000"/>
                <w:kern w:val="0"/>
                <w:sz w:val="20"/>
                <w:szCs w:val="20"/>
              </w:rPr>
              <w:t>1,53</w:t>
            </w:r>
          </w:p>
        </w:tc>
      </w:tr>
      <w:tr w:rsidR="00DF5A8B" w:rsidRPr="00576640" w:rsidTr="00DF5A8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b/>
                <w:bCs/>
                <w:color w:val="000000"/>
                <w:kern w:val="0"/>
                <w:sz w:val="20"/>
                <w:szCs w:val="20"/>
              </w:rPr>
            </w:pPr>
            <w:r w:rsidRPr="00576640">
              <w:rPr>
                <w:rFonts w:eastAsia="Times New Roman" w:cs="Arial"/>
                <w:b/>
                <w:bCs/>
                <w:color w:val="000000"/>
                <w:kern w:val="0"/>
                <w:sz w:val="20"/>
                <w:szCs w:val="20"/>
              </w:rPr>
              <w:t>Santa Maria</w:t>
            </w:r>
          </w:p>
        </w:tc>
        <w:tc>
          <w:tcPr>
            <w:tcW w:w="0" w:type="auto"/>
            <w:tcBorders>
              <w:top w:val="nil"/>
              <w:left w:val="nil"/>
              <w:bottom w:val="single" w:sz="4" w:space="0" w:color="auto"/>
              <w:right w:val="single" w:sz="4" w:space="0" w:color="auto"/>
            </w:tcBorders>
            <w:vAlign w:val="center"/>
          </w:tcPr>
          <w:p w:rsidR="00DF5A8B" w:rsidRPr="00576640" w:rsidRDefault="00DF5A8B" w:rsidP="00DF5A8B">
            <w:pPr>
              <w:widowControl/>
              <w:suppressAutoHyphens w:val="0"/>
              <w:ind w:firstLine="0"/>
              <w:jc w:val="center"/>
              <w:rPr>
                <w:rFonts w:eastAsia="Times New Roman" w:cs="Arial"/>
                <w:color w:val="000000"/>
                <w:kern w:val="0"/>
                <w:sz w:val="20"/>
                <w:szCs w:val="20"/>
              </w:rPr>
            </w:pPr>
            <w:r>
              <w:rPr>
                <w:rFonts w:eastAsia="Times New Roman" w:cs="Arial"/>
                <w:color w:val="000000"/>
                <w:kern w:val="0"/>
                <w:sz w:val="20"/>
                <w:szCs w:val="20"/>
              </w:rPr>
              <w:t>140.321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2,25</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1,24</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1,12</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2,21</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0,91</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1,91</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b/>
                <w:bCs/>
                <w:color w:val="000000"/>
                <w:kern w:val="0"/>
                <w:sz w:val="20"/>
                <w:szCs w:val="20"/>
              </w:rPr>
            </w:pPr>
            <w:r w:rsidRPr="00576640">
              <w:rPr>
                <w:rFonts w:eastAsia="Times New Roman" w:cs="Arial"/>
                <w:b/>
                <w:bCs/>
                <w:color w:val="000000"/>
                <w:kern w:val="0"/>
                <w:sz w:val="20"/>
                <w:szCs w:val="20"/>
              </w:rPr>
              <w:t>1,61</w:t>
            </w:r>
          </w:p>
        </w:tc>
      </w:tr>
      <w:tr w:rsidR="00DF5A8B" w:rsidRPr="00576640" w:rsidTr="00DF5A8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b/>
                <w:bCs/>
                <w:color w:val="000000"/>
                <w:kern w:val="0"/>
                <w:sz w:val="20"/>
                <w:szCs w:val="20"/>
              </w:rPr>
            </w:pPr>
            <w:r w:rsidRPr="00576640">
              <w:rPr>
                <w:rFonts w:eastAsia="Times New Roman" w:cs="Arial"/>
                <w:b/>
                <w:bCs/>
                <w:color w:val="000000"/>
                <w:kern w:val="0"/>
                <w:sz w:val="20"/>
                <w:szCs w:val="20"/>
              </w:rPr>
              <w:t>Erechim</w:t>
            </w:r>
          </w:p>
        </w:tc>
        <w:tc>
          <w:tcPr>
            <w:tcW w:w="0" w:type="auto"/>
            <w:tcBorders>
              <w:top w:val="nil"/>
              <w:left w:val="nil"/>
              <w:bottom w:val="single" w:sz="4" w:space="0" w:color="auto"/>
              <w:right w:val="single" w:sz="4" w:space="0" w:color="auto"/>
            </w:tcBorders>
            <w:vAlign w:val="center"/>
          </w:tcPr>
          <w:p w:rsidR="00DF5A8B" w:rsidRPr="00576640" w:rsidRDefault="00DF5A8B" w:rsidP="00DF5A8B">
            <w:pPr>
              <w:widowControl/>
              <w:suppressAutoHyphens w:val="0"/>
              <w:ind w:firstLine="0"/>
              <w:jc w:val="center"/>
              <w:rPr>
                <w:rFonts w:eastAsia="Times New Roman" w:cs="Arial"/>
                <w:color w:val="000000"/>
                <w:kern w:val="0"/>
                <w:sz w:val="20"/>
                <w:szCs w:val="20"/>
              </w:rPr>
            </w:pPr>
            <w:r>
              <w:rPr>
                <w:rFonts w:eastAsia="Times New Roman" w:cs="Arial"/>
                <w:color w:val="000000"/>
                <w:kern w:val="0"/>
                <w:sz w:val="20"/>
                <w:szCs w:val="20"/>
              </w:rPr>
              <w:t>66.794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2,23</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2,17</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2</w:t>
            </w:r>
            <w:r>
              <w:rPr>
                <w:rFonts w:eastAsia="Times New Roman" w:cs="Arial"/>
                <w:color w:val="000000"/>
                <w:kern w:val="0"/>
                <w:sz w:val="20"/>
                <w:szCs w:val="20"/>
              </w:rPr>
              <w:t>,00</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1,73</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1,87</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1,77</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b/>
                <w:bCs/>
                <w:color w:val="000000"/>
                <w:kern w:val="0"/>
                <w:sz w:val="20"/>
                <w:szCs w:val="20"/>
              </w:rPr>
            </w:pPr>
            <w:r w:rsidRPr="00576640">
              <w:rPr>
                <w:rFonts w:eastAsia="Times New Roman" w:cs="Arial"/>
                <w:b/>
                <w:bCs/>
                <w:color w:val="000000"/>
                <w:kern w:val="0"/>
                <w:sz w:val="20"/>
                <w:szCs w:val="20"/>
              </w:rPr>
              <w:t>1,96</w:t>
            </w:r>
          </w:p>
        </w:tc>
      </w:tr>
      <w:tr w:rsidR="00DF5A8B" w:rsidRPr="00576640" w:rsidTr="00DF5A8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b/>
                <w:bCs/>
                <w:color w:val="000000"/>
                <w:kern w:val="0"/>
                <w:sz w:val="20"/>
                <w:szCs w:val="20"/>
              </w:rPr>
            </w:pPr>
            <w:r w:rsidRPr="00576640">
              <w:rPr>
                <w:rFonts w:eastAsia="Times New Roman" w:cs="Arial"/>
                <w:b/>
                <w:bCs/>
                <w:color w:val="000000"/>
                <w:kern w:val="0"/>
                <w:sz w:val="20"/>
                <w:szCs w:val="20"/>
              </w:rPr>
              <w:t>Porto Alegre</w:t>
            </w:r>
          </w:p>
        </w:tc>
        <w:tc>
          <w:tcPr>
            <w:tcW w:w="0" w:type="auto"/>
            <w:tcBorders>
              <w:top w:val="nil"/>
              <w:left w:val="nil"/>
              <w:bottom w:val="single" w:sz="4" w:space="0" w:color="auto"/>
              <w:right w:val="single" w:sz="4" w:space="0" w:color="auto"/>
            </w:tcBorders>
            <w:vAlign w:val="center"/>
          </w:tcPr>
          <w:p w:rsidR="00DF5A8B" w:rsidRPr="00576640" w:rsidRDefault="00DF5A8B" w:rsidP="00DF5A8B">
            <w:pPr>
              <w:widowControl/>
              <w:suppressAutoHyphens w:val="0"/>
              <w:ind w:firstLine="0"/>
              <w:jc w:val="center"/>
              <w:rPr>
                <w:rFonts w:eastAsia="Times New Roman" w:cs="Arial"/>
                <w:color w:val="000000"/>
                <w:kern w:val="0"/>
                <w:sz w:val="20"/>
                <w:szCs w:val="20"/>
              </w:rPr>
            </w:pPr>
            <w:r>
              <w:rPr>
                <w:rFonts w:eastAsia="Times New Roman" w:cs="Arial"/>
                <w:color w:val="000000"/>
                <w:kern w:val="0"/>
                <w:sz w:val="20"/>
                <w:szCs w:val="20"/>
              </w:rPr>
              <w:t>815.533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1,69</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2,03</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1,76</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2,34</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2,7</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color w:val="000000"/>
                <w:kern w:val="0"/>
                <w:sz w:val="20"/>
                <w:szCs w:val="20"/>
              </w:rPr>
            </w:pPr>
            <w:r w:rsidRPr="00576640">
              <w:rPr>
                <w:rFonts w:eastAsia="Times New Roman" w:cs="Arial"/>
                <w:color w:val="000000"/>
                <w:kern w:val="0"/>
                <w:sz w:val="20"/>
                <w:szCs w:val="20"/>
              </w:rPr>
              <w:t>3,02</w:t>
            </w:r>
          </w:p>
        </w:tc>
        <w:tc>
          <w:tcPr>
            <w:tcW w:w="0" w:type="auto"/>
            <w:tcBorders>
              <w:top w:val="nil"/>
              <w:left w:val="nil"/>
              <w:bottom w:val="single" w:sz="4" w:space="0" w:color="auto"/>
              <w:right w:val="single" w:sz="4" w:space="0" w:color="auto"/>
            </w:tcBorders>
            <w:shd w:val="clear" w:color="auto" w:fill="auto"/>
            <w:noWrap/>
            <w:vAlign w:val="center"/>
            <w:hideMark/>
          </w:tcPr>
          <w:p w:rsidR="00DF5A8B" w:rsidRPr="00576640" w:rsidRDefault="00DF5A8B" w:rsidP="00DF5A8B">
            <w:pPr>
              <w:widowControl/>
              <w:suppressAutoHyphens w:val="0"/>
              <w:ind w:firstLine="0"/>
              <w:jc w:val="center"/>
              <w:rPr>
                <w:rFonts w:eastAsia="Times New Roman" w:cs="Arial"/>
                <w:b/>
                <w:bCs/>
                <w:color w:val="000000"/>
                <w:kern w:val="0"/>
                <w:sz w:val="20"/>
                <w:szCs w:val="20"/>
              </w:rPr>
            </w:pPr>
            <w:r w:rsidRPr="00576640">
              <w:rPr>
                <w:rFonts w:eastAsia="Times New Roman" w:cs="Arial"/>
                <w:b/>
                <w:bCs/>
                <w:color w:val="000000"/>
                <w:kern w:val="0"/>
                <w:sz w:val="20"/>
                <w:szCs w:val="20"/>
              </w:rPr>
              <w:t>2,26</w:t>
            </w:r>
          </w:p>
        </w:tc>
      </w:tr>
    </w:tbl>
    <w:p w:rsidR="00DF5A8B" w:rsidRDefault="00DF5A8B" w:rsidP="00DF5A8B">
      <w:pPr>
        <w:pStyle w:val="Corpodetexto31"/>
        <w:ind w:firstLine="708"/>
        <w:jc w:val="both"/>
        <w:rPr>
          <w:rFonts w:ascii="Arial" w:hAnsi="Arial"/>
          <w:sz w:val="18"/>
        </w:rPr>
      </w:pPr>
      <w:r>
        <w:rPr>
          <w:rFonts w:ascii="Arial" w:hAnsi="Arial"/>
          <w:b/>
          <w:sz w:val="18"/>
        </w:rPr>
        <w:t xml:space="preserve">Fonte: </w:t>
      </w:r>
      <w:r>
        <w:rPr>
          <w:rFonts w:ascii="Arial" w:hAnsi="Arial"/>
          <w:sz w:val="18"/>
        </w:rPr>
        <w:t>CIP/ICEAC da FURG. Dados da frota obtidos do De</w:t>
      </w:r>
      <w:r w:rsidR="00823D89">
        <w:rPr>
          <w:rFonts w:ascii="Arial" w:hAnsi="Arial"/>
          <w:sz w:val="18"/>
        </w:rPr>
        <w:t>partamento N</w:t>
      </w:r>
      <w:r>
        <w:rPr>
          <w:rFonts w:ascii="Arial" w:hAnsi="Arial"/>
          <w:sz w:val="18"/>
        </w:rPr>
        <w:t>a</w:t>
      </w:r>
      <w:r w:rsidR="00823D89">
        <w:rPr>
          <w:rFonts w:ascii="Arial" w:hAnsi="Arial"/>
          <w:sz w:val="18"/>
        </w:rPr>
        <w:t>cional de T</w:t>
      </w:r>
      <w:r>
        <w:rPr>
          <w:rFonts w:ascii="Arial" w:hAnsi="Arial"/>
          <w:sz w:val="18"/>
        </w:rPr>
        <w:t>r</w:t>
      </w:r>
      <w:r w:rsidR="00823D89">
        <w:rPr>
          <w:rFonts w:ascii="Arial" w:hAnsi="Arial"/>
          <w:sz w:val="18"/>
        </w:rPr>
        <w:t>â</w:t>
      </w:r>
      <w:r>
        <w:rPr>
          <w:rFonts w:ascii="Arial" w:hAnsi="Arial"/>
          <w:sz w:val="18"/>
        </w:rPr>
        <w:t>n</w:t>
      </w:r>
      <w:r w:rsidR="00823D89">
        <w:rPr>
          <w:rFonts w:ascii="Arial" w:hAnsi="Arial"/>
          <w:sz w:val="18"/>
        </w:rPr>
        <w:t>sito.</w:t>
      </w:r>
    </w:p>
    <w:p w:rsidR="00C70819" w:rsidRDefault="00C70819" w:rsidP="0029083B">
      <w:pPr>
        <w:rPr>
          <w:sz w:val="20"/>
          <w:szCs w:val="20"/>
        </w:rPr>
      </w:pPr>
    </w:p>
    <w:p w:rsidR="007D010C" w:rsidRDefault="000213AD" w:rsidP="00940DCB">
      <w:pPr>
        <w:spacing w:line="360" w:lineRule="auto"/>
        <w:rPr>
          <w:sz w:val="20"/>
          <w:szCs w:val="20"/>
        </w:rPr>
      </w:pPr>
      <w:bookmarkStart w:id="0" w:name="_GoBack"/>
      <w:bookmarkEnd w:id="0"/>
      <w:r>
        <w:rPr>
          <w:sz w:val="20"/>
          <w:szCs w:val="20"/>
        </w:rPr>
        <w:t>Analisando a T</w:t>
      </w:r>
      <w:r w:rsidR="00576640">
        <w:rPr>
          <w:sz w:val="20"/>
          <w:szCs w:val="20"/>
        </w:rPr>
        <w:t xml:space="preserve">abela 2, percebe-se que a cidade de Rio Grande tem o menor ICP dentre as cidades estudadas. Isso caracteriza que existe um maior alinhamento de preços demonstrando que há um baixo nível de concorrência na cidade. </w:t>
      </w:r>
    </w:p>
    <w:p w:rsidR="00576640" w:rsidRDefault="00576640" w:rsidP="00940DCB">
      <w:pPr>
        <w:spacing w:line="360" w:lineRule="auto"/>
        <w:rPr>
          <w:sz w:val="20"/>
          <w:szCs w:val="20"/>
        </w:rPr>
      </w:pPr>
      <w:r>
        <w:rPr>
          <w:sz w:val="20"/>
          <w:szCs w:val="20"/>
        </w:rPr>
        <w:t>Pode</w:t>
      </w:r>
      <w:r w:rsidR="00BE58E5">
        <w:rPr>
          <w:sz w:val="20"/>
          <w:szCs w:val="20"/>
        </w:rPr>
        <w:t>-se</w:t>
      </w:r>
      <w:r>
        <w:rPr>
          <w:sz w:val="20"/>
          <w:szCs w:val="20"/>
        </w:rPr>
        <w:t xml:space="preserve"> observar a partir da </w:t>
      </w:r>
      <w:r w:rsidR="000213AD">
        <w:rPr>
          <w:sz w:val="20"/>
          <w:szCs w:val="20"/>
        </w:rPr>
        <w:t>T</w:t>
      </w:r>
      <w:r>
        <w:rPr>
          <w:sz w:val="20"/>
          <w:szCs w:val="20"/>
        </w:rPr>
        <w:t>abela 2 que a cidade de Porto Alegre possui o maior ICP médio no período, isso caracteriza um</w:t>
      </w:r>
      <w:r w:rsidR="000213AD">
        <w:rPr>
          <w:sz w:val="20"/>
          <w:szCs w:val="20"/>
        </w:rPr>
        <w:t>a</w:t>
      </w:r>
      <w:r>
        <w:rPr>
          <w:sz w:val="20"/>
          <w:szCs w:val="20"/>
        </w:rPr>
        <w:t xml:space="preserve"> m</w:t>
      </w:r>
      <w:r w:rsidR="000213AD">
        <w:rPr>
          <w:sz w:val="20"/>
          <w:szCs w:val="20"/>
        </w:rPr>
        <w:t>aior dispersão entre os preços praticados pelos revendedores. Na prática o consumidor que busca economizar o peso do produto gasolina comum no seu orçamento terá sucesso em encontrar um preço menor.</w:t>
      </w:r>
    </w:p>
    <w:p w:rsidR="006170F5" w:rsidRPr="002A70C2" w:rsidRDefault="00576640" w:rsidP="00940DCB">
      <w:pPr>
        <w:spacing w:line="360" w:lineRule="auto"/>
        <w:rPr>
          <w:rFonts w:cs="Arial"/>
          <w:sz w:val="20"/>
          <w:szCs w:val="20"/>
        </w:rPr>
      </w:pPr>
      <w:r>
        <w:rPr>
          <w:sz w:val="20"/>
          <w:szCs w:val="20"/>
        </w:rPr>
        <w:t xml:space="preserve">Ao analisar novamente a </w:t>
      </w:r>
      <w:r w:rsidR="000213AD">
        <w:rPr>
          <w:sz w:val="20"/>
          <w:szCs w:val="20"/>
        </w:rPr>
        <w:t>T</w:t>
      </w:r>
      <w:r>
        <w:rPr>
          <w:sz w:val="20"/>
          <w:szCs w:val="20"/>
        </w:rPr>
        <w:t xml:space="preserve">abela 2, percebe-se que </w:t>
      </w:r>
      <w:r w:rsidR="00823D89">
        <w:rPr>
          <w:sz w:val="20"/>
          <w:szCs w:val="20"/>
        </w:rPr>
        <w:t xml:space="preserve">não há uma relação clara entre a frota de </w:t>
      </w:r>
      <w:r w:rsidR="00823D89">
        <w:rPr>
          <w:sz w:val="20"/>
          <w:szCs w:val="20"/>
        </w:rPr>
        <w:lastRenderedPageBreak/>
        <w:t>veículos dos municípios selecionados e o nível de concorrência. Esperava-se que quanto maior a frota de veículos maior o nível de concorrência entre os revendedores. No entanto para o conjunto das capitais brasileiras verifica-se esta relação esperada</w:t>
      </w:r>
      <w:r w:rsidR="00AB7573">
        <w:rPr>
          <w:sz w:val="20"/>
          <w:szCs w:val="20"/>
        </w:rPr>
        <w:t xml:space="preserve"> (Gráfico 1) </w:t>
      </w:r>
      <w:r w:rsidR="00823D89">
        <w:rPr>
          <w:sz w:val="20"/>
          <w:szCs w:val="20"/>
        </w:rPr>
        <w:t>.</w:t>
      </w:r>
    </w:p>
    <w:p w:rsidR="00A534B4" w:rsidRDefault="00A534B4" w:rsidP="0029083B">
      <w:pPr>
        <w:rPr>
          <w:rFonts w:cs="Arial"/>
          <w:sz w:val="22"/>
          <w:szCs w:val="22"/>
        </w:rPr>
      </w:pPr>
    </w:p>
    <w:p w:rsidR="002A70C2" w:rsidRDefault="0063105C" w:rsidP="00940DCB">
      <w:pPr>
        <w:spacing w:line="360" w:lineRule="auto"/>
        <w:ind w:firstLine="0"/>
        <w:jc w:val="center"/>
        <w:rPr>
          <w:sz w:val="18"/>
        </w:rPr>
      </w:pPr>
      <w:r w:rsidRPr="00074700">
        <w:rPr>
          <w:noProof/>
        </w:rPr>
        <w:drawing>
          <wp:inline distT="0" distB="0" distL="0" distR="0">
            <wp:extent cx="5648325" cy="2933700"/>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2A70C2">
        <w:rPr>
          <w:b/>
          <w:sz w:val="18"/>
        </w:rPr>
        <w:t>Fonte:</w:t>
      </w:r>
      <w:r w:rsidR="002A70C2">
        <w:rPr>
          <w:sz w:val="18"/>
        </w:rPr>
        <w:t xml:space="preserve"> Centro integrado de Pesquisas (CIP) da Fundação Universidade Federal do Rio Grande (FURG).</w:t>
      </w:r>
    </w:p>
    <w:p w:rsidR="006170F5" w:rsidRPr="00E424DA" w:rsidRDefault="006170F5" w:rsidP="0029083B">
      <w:pPr>
        <w:rPr>
          <w:rFonts w:cs="Arial"/>
          <w:sz w:val="22"/>
          <w:szCs w:val="22"/>
        </w:rPr>
      </w:pPr>
    </w:p>
    <w:p w:rsidR="009D0723" w:rsidRPr="00E424DA" w:rsidRDefault="001A10FF" w:rsidP="0029083B">
      <w:pPr>
        <w:pStyle w:val="Ttulodaseoprimria"/>
        <w:rPr>
          <w:rFonts w:cs="Arial"/>
          <w:sz w:val="22"/>
          <w:szCs w:val="22"/>
        </w:rPr>
      </w:pPr>
      <w:r w:rsidRPr="00E424DA">
        <w:rPr>
          <w:rFonts w:cs="Arial"/>
          <w:sz w:val="22"/>
          <w:szCs w:val="22"/>
        </w:rPr>
        <w:t>5</w:t>
      </w:r>
      <w:r w:rsidR="0082219D" w:rsidRPr="00E424DA">
        <w:rPr>
          <w:rFonts w:cs="Arial"/>
          <w:sz w:val="22"/>
          <w:szCs w:val="22"/>
        </w:rPr>
        <w:t xml:space="preserve"> CONSIDERAÇÕES FINAIS</w:t>
      </w:r>
    </w:p>
    <w:p w:rsidR="003220E0" w:rsidRPr="00E424DA" w:rsidRDefault="003220E0" w:rsidP="0029083B">
      <w:pPr>
        <w:pStyle w:val="Ttulodaseoprimria"/>
        <w:rPr>
          <w:rFonts w:cs="Arial"/>
          <w:sz w:val="22"/>
          <w:szCs w:val="22"/>
        </w:rPr>
      </w:pPr>
    </w:p>
    <w:p w:rsidR="0063105C" w:rsidRPr="0063105C" w:rsidRDefault="0063105C" w:rsidP="00BE58E5">
      <w:pPr>
        <w:spacing w:line="360" w:lineRule="auto"/>
        <w:ind w:firstLine="360"/>
        <w:rPr>
          <w:rFonts w:cs="Arial"/>
          <w:sz w:val="20"/>
          <w:szCs w:val="20"/>
        </w:rPr>
      </w:pPr>
      <w:r w:rsidRPr="0063105C">
        <w:rPr>
          <w:rFonts w:cs="Arial"/>
          <w:sz w:val="20"/>
          <w:szCs w:val="20"/>
        </w:rPr>
        <w:t xml:space="preserve">No decorrer do </w:t>
      </w:r>
      <w:r>
        <w:rPr>
          <w:rFonts w:cs="Arial"/>
          <w:sz w:val="20"/>
          <w:szCs w:val="20"/>
        </w:rPr>
        <w:t>estudo</w:t>
      </w:r>
      <w:r w:rsidRPr="0063105C">
        <w:rPr>
          <w:rFonts w:cs="Arial"/>
          <w:sz w:val="20"/>
          <w:szCs w:val="20"/>
        </w:rPr>
        <w:t xml:space="preserve"> analis</w:t>
      </w:r>
      <w:r w:rsidR="0021527F">
        <w:rPr>
          <w:rFonts w:cs="Arial"/>
          <w:sz w:val="20"/>
          <w:szCs w:val="20"/>
        </w:rPr>
        <w:t>ou-se</w:t>
      </w:r>
      <w:r w:rsidRPr="0063105C">
        <w:rPr>
          <w:rFonts w:cs="Arial"/>
          <w:sz w:val="20"/>
          <w:szCs w:val="20"/>
        </w:rPr>
        <w:t xml:space="preserve"> como foi </w:t>
      </w:r>
      <w:r w:rsidR="00BE58E5">
        <w:rPr>
          <w:rFonts w:cs="Arial"/>
          <w:sz w:val="20"/>
          <w:szCs w:val="20"/>
        </w:rPr>
        <w:t>o nível de</w:t>
      </w:r>
      <w:r w:rsidRPr="0063105C">
        <w:rPr>
          <w:rFonts w:cs="Arial"/>
          <w:sz w:val="20"/>
          <w:szCs w:val="20"/>
        </w:rPr>
        <w:t xml:space="preserve"> concorrência </w:t>
      </w:r>
      <w:r w:rsidR="0021527F">
        <w:rPr>
          <w:rFonts w:cs="Arial"/>
          <w:sz w:val="20"/>
          <w:szCs w:val="20"/>
        </w:rPr>
        <w:t>entre os</w:t>
      </w:r>
      <w:r w:rsidRPr="0063105C">
        <w:rPr>
          <w:rFonts w:cs="Arial"/>
          <w:sz w:val="20"/>
          <w:szCs w:val="20"/>
        </w:rPr>
        <w:t xml:space="preserve"> </w:t>
      </w:r>
      <w:r w:rsidR="0021527F">
        <w:rPr>
          <w:rFonts w:cs="Arial"/>
          <w:sz w:val="20"/>
          <w:szCs w:val="20"/>
        </w:rPr>
        <w:t xml:space="preserve">revendedores </w:t>
      </w:r>
      <w:r w:rsidRPr="0063105C">
        <w:rPr>
          <w:rFonts w:cs="Arial"/>
          <w:sz w:val="20"/>
          <w:szCs w:val="20"/>
        </w:rPr>
        <w:t xml:space="preserve">de combustíveis no </w:t>
      </w:r>
      <w:r>
        <w:rPr>
          <w:rFonts w:cs="Arial"/>
          <w:sz w:val="20"/>
          <w:szCs w:val="20"/>
        </w:rPr>
        <w:t>primeiro semestre de 2014</w:t>
      </w:r>
      <w:r w:rsidRPr="0063105C">
        <w:rPr>
          <w:rFonts w:cs="Arial"/>
          <w:sz w:val="20"/>
          <w:szCs w:val="20"/>
        </w:rPr>
        <w:t xml:space="preserve"> no Rio Grande do Sul</w:t>
      </w:r>
      <w:r w:rsidR="0021527F">
        <w:rPr>
          <w:rFonts w:cs="Arial"/>
          <w:sz w:val="20"/>
          <w:szCs w:val="20"/>
        </w:rPr>
        <w:t xml:space="preserve"> para um conjunto de cidades selecionadas</w:t>
      </w:r>
      <w:r w:rsidRPr="0063105C">
        <w:rPr>
          <w:rFonts w:cs="Arial"/>
          <w:sz w:val="20"/>
          <w:szCs w:val="20"/>
        </w:rPr>
        <w:t xml:space="preserve">. De acordo com a metodologia desenvolvida pelo CIP, através do ICP, constatou-se </w:t>
      </w:r>
      <w:r w:rsidR="00BE58E5">
        <w:rPr>
          <w:rFonts w:cs="Arial"/>
          <w:sz w:val="20"/>
          <w:szCs w:val="20"/>
        </w:rPr>
        <w:t>uma diferenciação da concorrência entre os revendedores nas diferentes cidades. O município de Rio Grande apresentou a pior situação para o consumidor no período e o município de Porto Alegre a melhor. Não se encontrou para os municípios gaúchos relação entre a frota de veículos e o nível de concorrência. Já para as capitais brasileiras tem-se verificado, como mostra o relatório mensal de junho de 2014 divulgado pelo CIP, que quanto maior a frota de veículos maior o nível de concorrência.</w:t>
      </w:r>
    </w:p>
    <w:p w:rsidR="00C70819" w:rsidRDefault="00C70819" w:rsidP="00711AA3">
      <w:pPr>
        <w:pStyle w:val="Ttulodaseoprimria"/>
        <w:jc w:val="left"/>
        <w:rPr>
          <w:rFonts w:cs="Arial"/>
          <w:sz w:val="22"/>
          <w:szCs w:val="22"/>
        </w:rPr>
      </w:pPr>
    </w:p>
    <w:p w:rsidR="009D0723" w:rsidRPr="00E424DA" w:rsidRDefault="0082219D" w:rsidP="00711AA3">
      <w:pPr>
        <w:pStyle w:val="Ttulodaseoprimria"/>
        <w:jc w:val="left"/>
        <w:rPr>
          <w:rFonts w:cs="Arial"/>
          <w:sz w:val="22"/>
          <w:szCs w:val="22"/>
        </w:rPr>
      </w:pPr>
      <w:r w:rsidRPr="00E424DA">
        <w:rPr>
          <w:rFonts w:cs="Arial"/>
          <w:sz w:val="22"/>
          <w:szCs w:val="22"/>
        </w:rPr>
        <w:t>REFERÊNCIAS</w:t>
      </w:r>
    </w:p>
    <w:p w:rsidR="009D0723" w:rsidRPr="00E424DA" w:rsidRDefault="009D0723" w:rsidP="0029083B">
      <w:pPr>
        <w:rPr>
          <w:rFonts w:cs="Arial"/>
          <w:sz w:val="22"/>
          <w:szCs w:val="22"/>
        </w:rPr>
      </w:pPr>
    </w:p>
    <w:p w:rsidR="00BE58E5" w:rsidRPr="00BE58E5" w:rsidRDefault="00BE58E5" w:rsidP="00940DCB">
      <w:pPr>
        <w:spacing w:line="360" w:lineRule="auto"/>
        <w:ind w:firstLine="0"/>
        <w:rPr>
          <w:rFonts w:cs="Arial"/>
          <w:sz w:val="20"/>
          <w:szCs w:val="20"/>
        </w:rPr>
      </w:pPr>
      <w:r w:rsidRPr="00BE58E5">
        <w:rPr>
          <w:rFonts w:cs="Arial"/>
          <w:sz w:val="20"/>
          <w:szCs w:val="20"/>
        </w:rPr>
        <w:t xml:space="preserve">FREITAS, T. A. de. Análise </w:t>
      </w:r>
      <w:r w:rsidRPr="00BE58E5">
        <w:rPr>
          <w:rFonts w:cs="Arial"/>
          <w:i/>
          <w:sz w:val="20"/>
          <w:szCs w:val="20"/>
        </w:rPr>
        <w:t>cross-section</w:t>
      </w:r>
      <w:r w:rsidRPr="00BE58E5">
        <w:rPr>
          <w:rFonts w:cs="Arial"/>
          <w:sz w:val="20"/>
          <w:szCs w:val="20"/>
        </w:rPr>
        <w:t xml:space="preserve"> da dispersão dos preços para sinalização de práticas anticompetitivas no mercado de combustíveis. In: X Encontro Regional de Economia – Apenc Sul. PUC-RS. </w:t>
      </w:r>
      <w:r w:rsidRPr="00BE58E5">
        <w:rPr>
          <w:rFonts w:cs="Arial"/>
          <w:b/>
          <w:sz w:val="20"/>
          <w:szCs w:val="20"/>
        </w:rPr>
        <w:t>Anais</w:t>
      </w:r>
      <w:r w:rsidRPr="00BE58E5">
        <w:rPr>
          <w:rFonts w:cs="Arial"/>
          <w:sz w:val="20"/>
          <w:szCs w:val="20"/>
        </w:rPr>
        <w:t>. Outubro de 2007. Disponível em: &lt;</w:t>
      </w:r>
      <w:hyperlink r:id="rId8" w:history="1">
        <w:r w:rsidRPr="00BE58E5">
          <w:rPr>
            <w:rStyle w:val="Hyperlink"/>
            <w:rFonts w:cs="Arial"/>
            <w:sz w:val="20"/>
            <w:szCs w:val="20"/>
          </w:rPr>
          <w:t>http://www.pucrs.br/ face/ppge/anpecsul/4-03.pdf</w:t>
        </w:r>
      </w:hyperlink>
      <w:r w:rsidRPr="00BE58E5">
        <w:rPr>
          <w:rFonts w:cs="Arial"/>
          <w:sz w:val="20"/>
          <w:szCs w:val="20"/>
        </w:rPr>
        <w:t>&gt;.</w:t>
      </w:r>
      <w:r>
        <w:rPr>
          <w:rFonts w:cs="Arial"/>
          <w:sz w:val="20"/>
          <w:szCs w:val="20"/>
        </w:rPr>
        <w:t xml:space="preserve"> Acesso em: 30 de março de 2008.</w:t>
      </w:r>
    </w:p>
    <w:p w:rsidR="00BE58E5" w:rsidRDefault="00BE58E5" w:rsidP="00940DCB">
      <w:pPr>
        <w:spacing w:line="360" w:lineRule="auto"/>
        <w:ind w:firstLine="0"/>
        <w:rPr>
          <w:rFonts w:cs="Arial"/>
          <w:sz w:val="20"/>
          <w:szCs w:val="20"/>
        </w:rPr>
      </w:pPr>
      <w:r w:rsidRPr="00BE58E5">
        <w:rPr>
          <w:rFonts w:cs="Arial"/>
          <w:sz w:val="20"/>
          <w:szCs w:val="20"/>
        </w:rPr>
        <w:t xml:space="preserve">FREITAS, T. A. de. Filtro georreferenciado para detecção de indícios de cartel e no mercado varejista de gasolina comum no município de Porto Alegre. </w:t>
      </w:r>
      <w:r w:rsidRPr="00BE58E5">
        <w:rPr>
          <w:rFonts w:cs="Arial"/>
          <w:b/>
          <w:sz w:val="20"/>
          <w:szCs w:val="20"/>
        </w:rPr>
        <w:t>Anais do 38º Encontro Nacional de Economia</w:t>
      </w:r>
      <w:r w:rsidRPr="00BE58E5">
        <w:rPr>
          <w:rFonts w:cs="Arial"/>
          <w:sz w:val="20"/>
          <w:szCs w:val="20"/>
        </w:rPr>
        <w:t xml:space="preserve"> – ANPEC. Salvador, 07 a 10 de dezembro de 2010.</w:t>
      </w:r>
    </w:p>
    <w:p w:rsidR="00BE58E5" w:rsidRPr="00BE58E5" w:rsidRDefault="00BE58E5" w:rsidP="00940DCB">
      <w:pPr>
        <w:spacing w:line="360" w:lineRule="auto"/>
        <w:ind w:firstLine="0"/>
        <w:rPr>
          <w:rFonts w:cs="Arial"/>
          <w:sz w:val="20"/>
          <w:szCs w:val="20"/>
        </w:rPr>
      </w:pPr>
      <w:r>
        <w:rPr>
          <w:rFonts w:cs="Arial"/>
          <w:sz w:val="20"/>
          <w:szCs w:val="20"/>
        </w:rPr>
        <w:t xml:space="preserve">FREITAS, T. A. de. ZONATTO, A. Relatório mensal sobre o nível de concorrência entre os revendedores de combustível. Disponível em </w:t>
      </w:r>
      <w:hyperlink r:id="rId9" w:history="1">
        <w:r w:rsidRPr="00335632">
          <w:rPr>
            <w:rStyle w:val="Hyperlink"/>
            <w:rFonts w:cs="Arial"/>
            <w:sz w:val="20"/>
            <w:szCs w:val="20"/>
          </w:rPr>
          <w:t>www.cip.furg.br</w:t>
        </w:r>
      </w:hyperlink>
      <w:r>
        <w:rPr>
          <w:rFonts w:cs="Arial"/>
          <w:sz w:val="20"/>
          <w:szCs w:val="20"/>
        </w:rPr>
        <w:t>. Jan-jun de 2014.</w:t>
      </w:r>
    </w:p>
    <w:p w:rsidR="00BE58E5" w:rsidRPr="0063105C" w:rsidRDefault="00BE58E5" w:rsidP="00BE58E5">
      <w:pPr>
        <w:ind w:firstLine="0"/>
        <w:rPr>
          <w:color w:val="FFC000"/>
          <w:sz w:val="20"/>
          <w:szCs w:val="20"/>
        </w:rPr>
      </w:pPr>
    </w:p>
    <w:sectPr w:rsidR="00BE58E5" w:rsidRPr="0063105C" w:rsidSect="0082219D">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30A" w:rsidRDefault="002B030A" w:rsidP="00B11590">
      <w:r>
        <w:separator/>
      </w:r>
    </w:p>
  </w:endnote>
  <w:endnote w:type="continuationSeparator" w:id="1">
    <w:p w:rsidR="002B030A" w:rsidRDefault="002B030A" w:rsidP="00B11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7F" w:rsidRDefault="0021527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7F" w:rsidRDefault="0021527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7F" w:rsidRDefault="0021527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30A" w:rsidRDefault="002B030A" w:rsidP="00B11590">
      <w:r>
        <w:separator/>
      </w:r>
    </w:p>
  </w:footnote>
  <w:footnote w:type="continuationSeparator" w:id="1">
    <w:p w:rsidR="002B030A" w:rsidRDefault="002B030A" w:rsidP="00B11590">
      <w:r>
        <w:continuationSeparator/>
      </w:r>
    </w:p>
  </w:footnote>
  <w:footnote w:id="2">
    <w:p w:rsidR="0021527F" w:rsidRDefault="0021527F" w:rsidP="00940DCB">
      <w:pPr>
        <w:pStyle w:val="Textodenotaderodap"/>
        <w:ind w:firstLine="0"/>
      </w:pPr>
      <w:r>
        <w:rPr>
          <w:rStyle w:val="Caracteresdenotaderodap"/>
        </w:rPr>
        <w:footnoteRef/>
      </w:r>
      <w:r>
        <w:t xml:space="preserve"> </w:t>
      </w:r>
      <w:r w:rsidR="00940DCB">
        <w:t>O</w:t>
      </w:r>
      <w:r>
        <w:t xml:space="preserve">s dados divulgados semanalmente pela ANP </w:t>
      </w:r>
      <w:r w:rsidR="00940DCB">
        <w:t xml:space="preserve">podem ser obtidos em </w:t>
      </w:r>
      <w:hyperlink r:id="rId1" w:history="1">
        <w:r w:rsidRPr="00D9753F">
          <w:rPr>
            <w:rStyle w:val="Hyperlink"/>
          </w:rPr>
          <w:t>www.anp.gov.br</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7F" w:rsidRDefault="0021527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7F" w:rsidRPr="00E10B97" w:rsidRDefault="0021527F" w:rsidP="00F34C67">
    <w:pPr>
      <w:pStyle w:val="Cabealho"/>
      <w:jc w:val="center"/>
      <w:rPr>
        <w:rStyle w:val="Forte"/>
      </w:rPr>
    </w:pPr>
    <w:r w:rsidRPr="00E10B97">
      <w:rPr>
        <w:rStyle w:val="Forte"/>
      </w:rPr>
      <w:t>13ª Mostra da Produção Universitária</w:t>
    </w:r>
  </w:p>
  <w:p w:rsidR="0021527F" w:rsidRDefault="0021527F" w:rsidP="00D141AD">
    <w:pPr>
      <w:pStyle w:val="Cabealho"/>
      <w:jc w:val="left"/>
      <w:rPr>
        <w:rStyle w:val="Forte"/>
        <w:b w:val="0"/>
        <w:sz w:val="20"/>
        <w:szCs w:val="20"/>
      </w:rPr>
    </w:pPr>
    <w:r>
      <w:rPr>
        <w:rStyle w:val="Forte"/>
        <w:b w:val="0"/>
        <w:sz w:val="20"/>
        <w:szCs w:val="20"/>
      </w:rPr>
      <w:t>.</w:t>
    </w:r>
  </w:p>
  <w:p w:rsidR="0021527F" w:rsidRPr="00D141AD" w:rsidRDefault="0021527F" w:rsidP="00D141AD">
    <w:pPr>
      <w:pStyle w:val="Cabealho"/>
      <w:jc w:val="left"/>
      <w:rPr>
        <w:bCs/>
        <w:sz w:val="20"/>
        <w:szCs w:val="20"/>
      </w:rPr>
    </w:pPr>
    <w:r w:rsidRPr="00F34C67">
      <w:rPr>
        <w:rStyle w:val="Forte"/>
        <w:b w:val="0"/>
        <w:sz w:val="18"/>
        <w:szCs w:val="20"/>
      </w:rPr>
      <w:t xml:space="preserve">Rio Grande/RS, Brasil, </w:t>
    </w:r>
    <w:r>
      <w:rPr>
        <w:rStyle w:val="Forte"/>
        <w:b w:val="0"/>
        <w:sz w:val="18"/>
        <w:szCs w:val="20"/>
      </w:rPr>
      <w:t>14</w:t>
    </w:r>
    <w:r w:rsidRPr="00F34C67">
      <w:rPr>
        <w:rStyle w:val="Forte"/>
        <w:b w:val="0"/>
        <w:sz w:val="18"/>
        <w:szCs w:val="20"/>
      </w:rPr>
      <w:t xml:space="preserve"> a </w:t>
    </w:r>
    <w:r>
      <w:rPr>
        <w:rStyle w:val="Forte"/>
        <w:b w:val="0"/>
        <w:sz w:val="18"/>
        <w:szCs w:val="20"/>
      </w:rPr>
      <w:t>17</w:t>
    </w:r>
    <w:r w:rsidRPr="00F34C67">
      <w:rPr>
        <w:rStyle w:val="Forte"/>
        <w:b w:val="0"/>
        <w:sz w:val="18"/>
        <w:szCs w:val="20"/>
      </w:rPr>
      <w:t xml:space="preserve"> de outubro de 201</w:t>
    </w:r>
    <w:r>
      <w:rPr>
        <w:rStyle w:val="Forte"/>
        <w:b w:val="0"/>
        <w:sz w:val="18"/>
        <w:szCs w:val="20"/>
      </w:rPr>
      <w:t>4</w:t>
    </w:r>
    <w:r w:rsidRPr="00F34C67">
      <w:rPr>
        <w:rStyle w:val="Forte"/>
        <w:b w:val="0"/>
        <w:sz w:val="18"/>
        <w:szCs w:val="20"/>
      </w:rPr>
      <w:t>.</w:t>
    </w:r>
  </w:p>
  <w:p w:rsidR="0021527F" w:rsidRDefault="0021527F" w:rsidP="00F34C67">
    <w:pPr>
      <w:pStyle w:val="Cabealho"/>
      <w:jc w:val="left"/>
      <w:rPr>
        <w:rStyle w:val="Forte"/>
        <w:b w:val="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7F" w:rsidRDefault="0021527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9D0723"/>
    <w:rsid w:val="000033F3"/>
    <w:rsid w:val="00015CFE"/>
    <w:rsid w:val="000213AD"/>
    <w:rsid w:val="000F630E"/>
    <w:rsid w:val="00110E3E"/>
    <w:rsid w:val="0012354B"/>
    <w:rsid w:val="00125006"/>
    <w:rsid w:val="00176E7E"/>
    <w:rsid w:val="00185FE1"/>
    <w:rsid w:val="001A10FF"/>
    <w:rsid w:val="001C7B8C"/>
    <w:rsid w:val="001C7EAD"/>
    <w:rsid w:val="001D2E8B"/>
    <w:rsid w:val="001E496B"/>
    <w:rsid w:val="00203D0A"/>
    <w:rsid w:val="0021527F"/>
    <w:rsid w:val="0024774D"/>
    <w:rsid w:val="0028792D"/>
    <w:rsid w:val="0029083B"/>
    <w:rsid w:val="002A70C2"/>
    <w:rsid w:val="002A7A57"/>
    <w:rsid w:val="002B030A"/>
    <w:rsid w:val="002B3B61"/>
    <w:rsid w:val="003220E0"/>
    <w:rsid w:val="00340B62"/>
    <w:rsid w:val="0036728F"/>
    <w:rsid w:val="003C0392"/>
    <w:rsid w:val="00450C0F"/>
    <w:rsid w:val="00493589"/>
    <w:rsid w:val="004C74E6"/>
    <w:rsid w:val="004D53C2"/>
    <w:rsid w:val="004F7A69"/>
    <w:rsid w:val="00520FB9"/>
    <w:rsid w:val="00554D8E"/>
    <w:rsid w:val="00576640"/>
    <w:rsid w:val="005D03A4"/>
    <w:rsid w:val="005E20C1"/>
    <w:rsid w:val="006170F5"/>
    <w:rsid w:val="006214CB"/>
    <w:rsid w:val="0063105C"/>
    <w:rsid w:val="006A4184"/>
    <w:rsid w:val="006F054E"/>
    <w:rsid w:val="006F1A5E"/>
    <w:rsid w:val="0070021A"/>
    <w:rsid w:val="00711AA3"/>
    <w:rsid w:val="00724A7E"/>
    <w:rsid w:val="00731B6A"/>
    <w:rsid w:val="0073207E"/>
    <w:rsid w:val="0079798C"/>
    <w:rsid w:val="007C2D07"/>
    <w:rsid w:val="007D005C"/>
    <w:rsid w:val="007D010C"/>
    <w:rsid w:val="007E361B"/>
    <w:rsid w:val="0082219D"/>
    <w:rsid w:val="00823D89"/>
    <w:rsid w:val="008316CE"/>
    <w:rsid w:val="008F2165"/>
    <w:rsid w:val="00940DCB"/>
    <w:rsid w:val="00941544"/>
    <w:rsid w:val="009B0959"/>
    <w:rsid w:val="009D0723"/>
    <w:rsid w:val="009D4B5A"/>
    <w:rsid w:val="009F1118"/>
    <w:rsid w:val="00A534B4"/>
    <w:rsid w:val="00A56E01"/>
    <w:rsid w:val="00A72188"/>
    <w:rsid w:val="00A756D1"/>
    <w:rsid w:val="00A771C1"/>
    <w:rsid w:val="00A802B0"/>
    <w:rsid w:val="00A83E52"/>
    <w:rsid w:val="00AB7573"/>
    <w:rsid w:val="00AC03D4"/>
    <w:rsid w:val="00B01B52"/>
    <w:rsid w:val="00B11590"/>
    <w:rsid w:val="00B373EE"/>
    <w:rsid w:val="00B6083B"/>
    <w:rsid w:val="00B96E99"/>
    <w:rsid w:val="00BA2187"/>
    <w:rsid w:val="00BE58E5"/>
    <w:rsid w:val="00BE7921"/>
    <w:rsid w:val="00C00D54"/>
    <w:rsid w:val="00C16DD6"/>
    <w:rsid w:val="00C341B4"/>
    <w:rsid w:val="00C47B84"/>
    <w:rsid w:val="00C70819"/>
    <w:rsid w:val="00C950B7"/>
    <w:rsid w:val="00CA1EF6"/>
    <w:rsid w:val="00CC3E16"/>
    <w:rsid w:val="00CF1B19"/>
    <w:rsid w:val="00D141AD"/>
    <w:rsid w:val="00D25A87"/>
    <w:rsid w:val="00D43862"/>
    <w:rsid w:val="00D740C6"/>
    <w:rsid w:val="00D753F3"/>
    <w:rsid w:val="00DD1B99"/>
    <w:rsid w:val="00DD2B72"/>
    <w:rsid w:val="00DE6963"/>
    <w:rsid w:val="00DF5A8B"/>
    <w:rsid w:val="00E10B97"/>
    <w:rsid w:val="00E424DA"/>
    <w:rsid w:val="00E53062"/>
    <w:rsid w:val="00EA51E0"/>
    <w:rsid w:val="00EB13F7"/>
    <w:rsid w:val="00F32619"/>
    <w:rsid w:val="00F34C67"/>
    <w:rsid w:val="00F56270"/>
    <w:rsid w:val="00F65AE9"/>
    <w:rsid w:val="00F96CB4"/>
    <w:rsid w:val="00FB279D"/>
    <w:rsid w:val="00FB3E05"/>
    <w:rsid w:val="00FD48B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link w:val="Textodenotadefim"/>
    <w:uiPriority w:val="99"/>
    <w:semiHidden/>
    <w:rsid w:val="000033F3"/>
    <w:rPr>
      <w:rFonts w:ascii="Arial" w:eastAsia="Arial Unicode MS" w:hAnsi="Arial"/>
      <w:kern w:val="1"/>
    </w:rPr>
  </w:style>
  <w:style w:type="character" w:styleId="Refdenotadefim">
    <w:name w:val="endnote reference"/>
    <w:uiPriority w:val="99"/>
    <w:semiHidden/>
    <w:unhideWhenUsed/>
    <w:rsid w:val="000033F3"/>
    <w:rPr>
      <w:vertAlign w:val="superscript"/>
    </w:rPr>
  </w:style>
  <w:style w:type="paragraph" w:styleId="Textodenotaderodap">
    <w:name w:val="footnote text"/>
    <w:basedOn w:val="Normal"/>
    <w:link w:val="TextodenotaderodapChar"/>
    <w:semiHidden/>
    <w:unhideWhenUsed/>
    <w:rsid w:val="000033F3"/>
    <w:rPr>
      <w:sz w:val="20"/>
      <w:szCs w:val="20"/>
    </w:rPr>
  </w:style>
  <w:style w:type="character" w:customStyle="1" w:styleId="TextodenotaderodapChar">
    <w:name w:val="Texto de nota de rodapé Char"/>
    <w:link w:val="Textodenotaderodap"/>
    <w:uiPriority w:val="99"/>
    <w:semiHidden/>
    <w:rsid w:val="000033F3"/>
    <w:rPr>
      <w:rFonts w:ascii="Arial" w:eastAsia="Arial Unicode MS" w:hAnsi="Arial"/>
      <w:kern w:val="1"/>
    </w:rPr>
  </w:style>
  <w:style w:type="character" w:styleId="Refdenotaderodap">
    <w:name w:val="footnote reference"/>
    <w:uiPriority w:val="99"/>
    <w:semiHidden/>
    <w:unhideWhenUsed/>
    <w:rsid w:val="000033F3"/>
    <w:rPr>
      <w:vertAlign w:val="superscript"/>
    </w:rPr>
  </w:style>
  <w:style w:type="character" w:customStyle="1" w:styleId="Caracteresdenotaderodap">
    <w:name w:val="Caracteres de nota de rodapé"/>
    <w:rsid w:val="005D03A4"/>
    <w:rPr>
      <w:vertAlign w:val="superscript"/>
    </w:rPr>
  </w:style>
  <w:style w:type="paragraph" w:customStyle="1" w:styleId="Corpodetexto31">
    <w:name w:val="Corpo de texto 31"/>
    <w:basedOn w:val="Normal"/>
    <w:rsid w:val="005D03A4"/>
    <w:pPr>
      <w:widowControl/>
      <w:ind w:firstLine="0"/>
      <w:jc w:val="left"/>
    </w:pPr>
    <w:rPr>
      <w:rFonts w:ascii="Times New Roman" w:eastAsia="Times New Roman" w:hAnsi="Times New Roman"/>
      <w:kern w:val="0"/>
      <w:szCs w:val="20"/>
      <w:lang w:eastAsia="ar-SA"/>
    </w:rPr>
  </w:style>
</w:styles>
</file>

<file path=word/webSettings.xml><?xml version="1.0" encoding="utf-8"?>
<w:webSettings xmlns:r="http://schemas.openxmlformats.org/officeDocument/2006/relationships" xmlns:w="http://schemas.openxmlformats.org/wordprocessingml/2006/main">
  <w:divs>
    <w:div w:id="156459756">
      <w:bodyDiv w:val="1"/>
      <w:marLeft w:val="0"/>
      <w:marRight w:val="0"/>
      <w:marTop w:val="0"/>
      <w:marBottom w:val="0"/>
      <w:divBdr>
        <w:top w:val="none" w:sz="0" w:space="0" w:color="auto"/>
        <w:left w:val="none" w:sz="0" w:space="0" w:color="auto"/>
        <w:bottom w:val="none" w:sz="0" w:space="0" w:color="auto"/>
        <w:right w:val="none" w:sz="0" w:space="0" w:color="auto"/>
      </w:divBdr>
    </w:div>
    <w:div w:id="193886067">
      <w:bodyDiv w:val="1"/>
      <w:marLeft w:val="0"/>
      <w:marRight w:val="0"/>
      <w:marTop w:val="0"/>
      <w:marBottom w:val="0"/>
      <w:divBdr>
        <w:top w:val="none" w:sz="0" w:space="0" w:color="auto"/>
        <w:left w:val="none" w:sz="0" w:space="0" w:color="auto"/>
        <w:bottom w:val="none" w:sz="0" w:space="0" w:color="auto"/>
        <w:right w:val="none" w:sz="0" w:space="0" w:color="auto"/>
      </w:divBdr>
    </w:div>
    <w:div w:id="519008595">
      <w:bodyDiv w:val="1"/>
      <w:marLeft w:val="0"/>
      <w:marRight w:val="0"/>
      <w:marTop w:val="0"/>
      <w:marBottom w:val="0"/>
      <w:divBdr>
        <w:top w:val="none" w:sz="0" w:space="0" w:color="auto"/>
        <w:left w:val="none" w:sz="0" w:space="0" w:color="auto"/>
        <w:bottom w:val="none" w:sz="0" w:space="0" w:color="auto"/>
        <w:right w:val="none" w:sz="0" w:space="0" w:color="auto"/>
      </w:divBdr>
    </w:div>
    <w:div w:id="1444569527">
      <w:bodyDiv w:val="1"/>
      <w:marLeft w:val="0"/>
      <w:marRight w:val="0"/>
      <w:marTop w:val="0"/>
      <w:marBottom w:val="0"/>
      <w:divBdr>
        <w:top w:val="none" w:sz="0" w:space="0" w:color="auto"/>
        <w:left w:val="none" w:sz="0" w:space="0" w:color="auto"/>
        <w:bottom w:val="none" w:sz="0" w:space="0" w:color="auto"/>
        <w:right w:val="none" w:sz="0" w:space="0" w:color="auto"/>
      </w:divBdr>
    </w:div>
    <w:div w:id="179170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rs.br/%20face/ppge/anpecsul/4-03.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furg.br"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anp.gov.br"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Augusto\Documents\FURG\Bolsa\Planilhas%20Relat&#243;rio\Capitais\9%20-%20Capitais%20-%20Junho%202014.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Arial"/>
                <a:ea typeface="Arial"/>
                <a:cs typeface="Arial"/>
              </a:defRPr>
            </a:pPr>
            <a:r>
              <a:rPr lang="pt-BR" sz="1050" b="1" i="0" u="none" strike="noStrike" baseline="0">
                <a:solidFill>
                  <a:srgbClr val="000000"/>
                </a:solidFill>
                <a:latin typeface="Arial"/>
                <a:cs typeface="Arial"/>
              </a:rPr>
              <a:t>GRÁFICO 1 </a:t>
            </a:r>
            <a:r>
              <a:rPr lang="pt-BR" sz="1050" b="0" i="0" u="none" strike="noStrike" baseline="0">
                <a:solidFill>
                  <a:srgbClr val="000000"/>
                </a:solidFill>
                <a:latin typeface="Arial"/>
                <a:cs typeface="Arial"/>
              </a:rPr>
              <a:t>- ICP por classe de veículos nas capitais brasileiras para a gasolina - 22 a 28 de junho de 2014 (Nº de veículos vezes 1.000)</a:t>
            </a:r>
          </a:p>
        </c:rich>
      </c:tx>
      <c:layout>
        <c:manualLayout>
          <c:xMode val="edge"/>
          <c:yMode val="edge"/>
          <c:x val="0.12182992303027892"/>
          <c:y val="2.4356955380577432E-3"/>
        </c:manualLayout>
      </c:layout>
      <c:spPr>
        <a:noFill/>
        <a:ln w="25400">
          <a:noFill/>
        </a:ln>
      </c:spPr>
    </c:title>
    <c:plotArea>
      <c:layout>
        <c:manualLayout>
          <c:layoutTarget val="inner"/>
          <c:xMode val="edge"/>
          <c:yMode val="edge"/>
          <c:x val="9.5006090133983076E-2"/>
          <c:y val="0.19413954137251987"/>
          <c:w val="0.8879415347137638"/>
          <c:h val="0.65567882840907787"/>
        </c:manualLayout>
      </c:layout>
      <c:barChart>
        <c:barDir val="col"/>
        <c:grouping val="clustered"/>
        <c:ser>
          <c:idx val="0"/>
          <c:order val="0"/>
          <c:spPr>
            <a:solidFill>
              <a:srgbClr val="3366FF"/>
            </a:solidFill>
            <a:ln w="12700">
              <a:solidFill>
                <a:srgbClr val="000000"/>
              </a:solidFill>
              <a:prstDash val="solid"/>
            </a:ln>
          </c:spPr>
          <c:cat>
            <c:strRef>
              <c:f>'calculo p grafico 2'!$H$3:$H$7</c:f>
              <c:strCache>
                <c:ptCount val="5"/>
                <c:pt idx="0">
                  <c:v>&lt; 100</c:v>
                </c:pt>
                <c:pt idx="1">
                  <c:v>101 a 200</c:v>
                </c:pt>
                <c:pt idx="2">
                  <c:v>201 a 500</c:v>
                </c:pt>
                <c:pt idx="3">
                  <c:v>501 a 1000</c:v>
                </c:pt>
                <c:pt idx="4">
                  <c:v>&gt; 1001</c:v>
                </c:pt>
              </c:strCache>
            </c:strRef>
          </c:cat>
          <c:val>
            <c:numRef>
              <c:f>'calculo p grafico 2'!$I$3:$I$7</c:f>
              <c:numCache>
                <c:formatCode>0.00%</c:formatCode>
                <c:ptCount val="5"/>
                <c:pt idx="0">
                  <c:v>5.294899291393272E-3</c:v>
                </c:pt>
                <c:pt idx="1">
                  <c:v>1.6024398666320147E-2</c:v>
                </c:pt>
                <c:pt idx="2">
                  <c:v>2.668195835596639E-2</c:v>
                </c:pt>
                <c:pt idx="3">
                  <c:v>3.2975301951149449E-2</c:v>
                </c:pt>
                <c:pt idx="4">
                  <c:v>4.8336675283260473E-2</c:v>
                </c:pt>
              </c:numCache>
            </c:numRef>
          </c:val>
        </c:ser>
        <c:axId val="46316544"/>
        <c:axId val="47238144"/>
      </c:barChart>
      <c:catAx>
        <c:axId val="46316544"/>
        <c:scaling>
          <c:orientation val="minMax"/>
        </c:scaling>
        <c:axPos val="b"/>
        <c:title>
          <c:tx>
            <c:rich>
              <a:bodyPr/>
              <a:lstStyle/>
              <a:p>
                <a:pPr>
                  <a:defRPr sz="1100" b="1" i="0" u="none" strike="noStrike" baseline="0">
                    <a:solidFill>
                      <a:srgbClr val="000000"/>
                    </a:solidFill>
                    <a:latin typeface="Arial"/>
                    <a:ea typeface="Arial"/>
                    <a:cs typeface="Arial"/>
                  </a:defRPr>
                </a:pPr>
                <a:r>
                  <a:rPr lang="pt-BR"/>
                  <a:t>Nº de veículos</a:t>
                </a:r>
              </a:p>
            </c:rich>
          </c:tx>
          <c:layout>
            <c:manualLayout>
              <c:xMode val="edge"/>
              <c:yMode val="edge"/>
              <c:x val="0.41984960143051275"/>
              <c:y val="0.92990523911783762"/>
            </c:manualLayout>
          </c:layout>
          <c:spPr>
            <a:noFill/>
            <a:ln w="25400">
              <a:noFill/>
            </a:ln>
          </c:spPr>
        </c:title>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Arial"/>
                <a:ea typeface="Arial"/>
                <a:cs typeface="Arial"/>
              </a:defRPr>
            </a:pPr>
            <a:endParaRPr lang="pt-BR"/>
          </a:p>
        </c:txPr>
        <c:crossAx val="47238144"/>
        <c:crosses val="autoZero"/>
        <c:auto val="1"/>
        <c:lblAlgn val="ctr"/>
        <c:lblOffset val="100"/>
        <c:tickLblSkip val="1"/>
        <c:tickMarkSkip val="1"/>
      </c:catAx>
      <c:valAx>
        <c:axId val="47238144"/>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rPr lang="pt-BR"/>
                  <a:t>ICP</a:t>
                </a:r>
              </a:p>
            </c:rich>
          </c:tx>
          <c:layout>
            <c:manualLayout>
              <c:xMode val="edge"/>
              <c:yMode val="edge"/>
              <c:x val="8.2461614726489687E-3"/>
              <c:y val="0.51914851552646823"/>
            </c:manualLayout>
          </c:layout>
          <c:spPr>
            <a:noFill/>
            <a:ln w="25400">
              <a:noFill/>
            </a:ln>
          </c:spPr>
        </c:title>
        <c:numFmt formatCode="0.00%" sourceLinked="0"/>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pt-BR"/>
          </a:p>
        </c:txPr>
        <c:crossAx val="46316544"/>
        <c:crosses val="autoZero"/>
        <c:crossBetween val="between"/>
      </c:valAx>
      <c:spPr>
        <a:noFill/>
        <a:ln w="12700">
          <a:solidFill>
            <a:srgbClr val="808080"/>
          </a:solidFill>
          <a:prstDash val="solid"/>
        </a:ln>
      </c:spPr>
    </c:plotArea>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pt-BR"/>
    </a:p>
  </c:txPr>
  <c:externalData r:id="rId2"/>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FC04A-3740-4306-BC02-FCE10AB6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6351</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7512</CharactersWithSpaces>
  <SharedDoc>false</SharedDoc>
  <HLinks>
    <vt:vector size="6" baseType="variant">
      <vt:variant>
        <vt:i4>8061054</vt:i4>
      </vt:variant>
      <vt:variant>
        <vt:i4>0</vt:i4>
      </vt:variant>
      <vt:variant>
        <vt:i4>0</vt:i4>
      </vt:variant>
      <vt:variant>
        <vt:i4>5</vt:i4>
      </vt:variant>
      <vt:variant>
        <vt:lpwstr>http://www.mpu.furg.br/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Tiaraju</cp:lastModifiedBy>
  <cp:revision>2</cp:revision>
  <cp:lastPrinted>2013-05-31T18:34:00Z</cp:lastPrinted>
  <dcterms:created xsi:type="dcterms:W3CDTF">2014-07-18T03:11:00Z</dcterms:created>
  <dcterms:modified xsi:type="dcterms:W3CDTF">2014-07-18T03:11:00Z</dcterms:modified>
</cp:coreProperties>
</file>