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252C86" w:rsidRDefault="00B46BE9" w:rsidP="0029083B">
      <w:pPr>
        <w:ind w:firstLine="0"/>
        <w:jc w:val="center"/>
        <w:rPr>
          <w:b/>
        </w:rPr>
      </w:pPr>
      <w:r w:rsidRPr="00252C86">
        <w:rPr>
          <w:b/>
        </w:rPr>
        <w:t>PRODUÇÃO DE ISOLADOS PROTEICOS PROVENIENTES DE SUBPRODUTOS DA IND</w:t>
      </w:r>
      <w:r w:rsidR="00E32760" w:rsidRPr="00252C86">
        <w:rPr>
          <w:b/>
        </w:rPr>
        <w:t>U</w:t>
      </w:r>
      <w:r w:rsidRPr="00252C86">
        <w:rPr>
          <w:b/>
        </w:rPr>
        <w:t>STRIA</w:t>
      </w:r>
      <w:r w:rsidR="00E32760" w:rsidRPr="00252C86">
        <w:rPr>
          <w:b/>
        </w:rPr>
        <w:t>LIZAÇÃO</w:t>
      </w:r>
      <w:r w:rsidRPr="00252C86">
        <w:rPr>
          <w:b/>
        </w:rPr>
        <w:t xml:space="preserve"> DO FRANGO</w:t>
      </w:r>
    </w:p>
    <w:p w:rsidR="0029083B" w:rsidRPr="00252C86" w:rsidRDefault="0029083B" w:rsidP="0029083B">
      <w:pPr>
        <w:ind w:firstLine="0"/>
        <w:jc w:val="right"/>
        <w:rPr>
          <w:b/>
        </w:rPr>
      </w:pPr>
    </w:p>
    <w:p w:rsidR="0029083B" w:rsidRPr="00252C86" w:rsidRDefault="0029083B" w:rsidP="0029083B">
      <w:pPr>
        <w:ind w:firstLine="0"/>
        <w:jc w:val="right"/>
        <w:rPr>
          <w:b/>
        </w:rPr>
      </w:pPr>
    </w:p>
    <w:p w:rsidR="00C47B84" w:rsidRPr="00252C86" w:rsidRDefault="00B46BE9" w:rsidP="0029083B">
      <w:pPr>
        <w:ind w:firstLine="0"/>
        <w:jc w:val="right"/>
        <w:rPr>
          <w:b/>
        </w:rPr>
      </w:pPr>
      <w:r w:rsidRPr="00252C86">
        <w:rPr>
          <w:b/>
        </w:rPr>
        <w:t>GABIATTI JR., Claudio</w:t>
      </w:r>
    </w:p>
    <w:p w:rsidR="00C47B84" w:rsidRPr="00252C86" w:rsidRDefault="00CB2B3F" w:rsidP="0029083B">
      <w:pPr>
        <w:ind w:firstLine="0"/>
        <w:jc w:val="right"/>
        <w:rPr>
          <w:b/>
        </w:rPr>
      </w:pPr>
      <w:r w:rsidRPr="00252C86">
        <w:rPr>
          <w:b/>
        </w:rPr>
        <w:t>PRENTICE, Carlos</w:t>
      </w:r>
    </w:p>
    <w:p w:rsidR="00C47B84" w:rsidRPr="00252C86" w:rsidRDefault="00CB2B3F" w:rsidP="00A771C1">
      <w:pPr>
        <w:ind w:firstLine="0"/>
        <w:jc w:val="right"/>
        <w:rPr>
          <w:b/>
        </w:rPr>
      </w:pPr>
      <w:r w:rsidRPr="00252C86">
        <w:rPr>
          <w:b/>
        </w:rPr>
        <w:t>claudiogabiatti@gmail.com</w:t>
      </w:r>
    </w:p>
    <w:p w:rsidR="00A771C1" w:rsidRPr="00252C86" w:rsidRDefault="00A771C1" w:rsidP="00A771C1">
      <w:pPr>
        <w:ind w:firstLine="0"/>
        <w:jc w:val="right"/>
        <w:rPr>
          <w:b/>
        </w:rPr>
      </w:pPr>
    </w:p>
    <w:p w:rsidR="00520FB9" w:rsidRPr="00252C86" w:rsidRDefault="00520FB9" w:rsidP="00711AA3">
      <w:pPr>
        <w:ind w:firstLine="0"/>
        <w:jc w:val="right"/>
        <w:rPr>
          <w:b/>
        </w:rPr>
      </w:pPr>
      <w:r w:rsidRPr="00252C86">
        <w:rPr>
          <w:b/>
        </w:rPr>
        <w:t xml:space="preserve">Evento: </w:t>
      </w:r>
      <w:r w:rsidR="00B76C72" w:rsidRPr="00252C86">
        <w:rPr>
          <w:b/>
        </w:rPr>
        <w:t>13ª Mostra da Produção Universitária</w:t>
      </w:r>
    </w:p>
    <w:p w:rsidR="00C47B84" w:rsidRPr="00252C86" w:rsidRDefault="00711AA3" w:rsidP="00711AA3">
      <w:pPr>
        <w:ind w:firstLine="0"/>
        <w:jc w:val="right"/>
        <w:rPr>
          <w:b/>
        </w:rPr>
      </w:pPr>
      <w:r w:rsidRPr="00252C86">
        <w:rPr>
          <w:b/>
        </w:rPr>
        <w:t>Área</w:t>
      </w:r>
      <w:r w:rsidR="00520FB9" w:rsidRPr="00252C86">
        <w:rPr>
          <w:b/>
        </w:rPr>
        <w:t xml:space="preserve"> do conhecimento</w:t>
      </w:r>
      <w:r w:rsidRPr="00252C86">
        <w:rPr>
          <w:b/>
        </w:rPr>
        <w:t xml:space="preserve">: </w:t>
      </w:r>
      <w:r w:rsidR="00E32760" w:rsidRPr="00252C86">
        <w:rPr>
          <w:b/>
        </w:rPr>
        <w:t>Ciências Agrárias</w:t>
      </w:r>
    </w:p>
    <w:p w:rsidR="001A10FF" w:rsidRPr="00252C86" w:rsidRDefault="001A10FF" w:rsidP="00711AA3">
      <w:pPr>
        <w:ind w:firstLine="0"/>
        <w:jc w:val="right"/>
        <w:rPr>
          <w:b/>
        </w:rPr>
      </w:pPr>
    </w:p>
    <w:p w:rsidR="00C341B4" w:rsidRPr="00252C86" w:rsidRDefault="009F1118" w:rsidP="009F1118">
      <w:pPr>
        <w:ind w:firstLine="0"/>
        <w:rPr>
          <w:b/>
        </w:rPr>
      </w:pPr>
      <w:r w:rsidRPr="00252C86">
        <w:rPr>
          <w:b/>
        </w:rPr>
        <w:t>Palavras-chave</w:t>
      </w:r>
      <w:r w:rsidR="00A56E01" w:rsidRPr="00252C86">
        <w:rPr>
          <w:b/>
        </w:rPr>
        <w:t xml:space="preserve">: </w:t>
      </w:r>
      <w:r w:rsidR="00CD7AE2" w:rsidRPr="00252C86">
        <w:t>frango, proteína,</w:t>
      </w:r>
      <w:r w:rsidR="00A56E01" w:rsidRPr="00252C86">
        <w:t xml:space="preserve"> </w:t>
      </w:r>
      <w:r w:rsidR="00CC6E84" w:rsidRPr="00252C86">
        <w:t>subprodutos</w:t>
      </w:r>
      <w:r w:rsidR="00CD7AE2" w:rsidRPr="00252C86">
        <w:t>.</w:t>
      </w:r>
    </w:p>
    <w:p w:rsidR="003220E0" w:rsidRPr="00252C86" w:rsidRDefault="003220E0" w:rsidP="0029083B">
      <w:pPr>
        <w:pStyle w:val="Ttulodaseoprimria"/>
      </w:pPr>
    </w:p>
    <w:p w:rsidR="009D0723" w:rsidRPr="00252C86" w:rsidRDefault="0082219D" w:rsidP="00C07243">
      <w:pPr>
        <w:pStyle w:val="Ttulodaseoprimria"/>
      </w:pPr>
      <w:proofErr w:type="gramStart"/>
      <w:r w:rsidRPr="00252C86">
        <w:t>1</w:t>
      </w:r>
      <w:proofErr w:type="gramEnd"/>
      <w:r w:rsidRPr="00252C86">
        <w:t xml:space="preserve"> INTRODUÇÃO</w:t>
      </w:r>
    </w:p>
    <w:p w:rsidR="00153900" w:rsidRPr="00577ACD" w:rsidRDefault="00630F01" w:rsidP="0029083B">
      <w:r w:rsidRPr="00577ACD">
        <w:t xml:space="preserve">A indústria frigorífica </w:t>
      </w:r>
      <w:r w:rsidR="00941271" w:rsidRPr="00577ACD">
        <w:t xml:space="preserve">avícola </w:t>
      </w:r>
      <w:r w:rsidRPr="00577ACD">
        <w:t>brasileira tem sido</w:t>
      </w:r>
      <w:r w:rsidR="001C28FE" w:rsidRPr="00577ACD">
        <w:t xml:space="preserve"> grande contribuinte para a economia nacional</w:t>
      </w:r>
      <w:r w:rsidRPr="00577ACD">
        <w:t>.</w:t>
      </w:r>
      <w:r w:rsidR="001C28FE" w:rsidRPr="00577ACD">
        <w:t xml:space="preserve"> </w:t>
      </w:r>
      <w:r w:rsidR="0004178E" w:rsidRPr="00577ACD">
        <w:t xml:space="preserve">A produção </w:t>
      </w:r>
      <w:r w:rsidR="00B65B74" w:rsidRPr="00577ACD">
        <w:t xml:space="preserve">e industrialização </w:t>
      </w:r>
      <w:r w:rsidR="0004178E" w:rsidRPr="00577ACD">
        <w:t xml:space="preserve">em larga escala de aves gera um considerável volume de subprodutos, os quais, por </w:t>
      </w:r>
      <w:r w:rsidR="00656042" w:rsidRPr="00577ACD">
        <w:t xml:space="preserve">meio de </w:t>
      </w:r>
      <w:r w:rsidR="0004178E" w:rsidRPr="00577ACD">
        <w:t xml:space="preserve">processos tradicionais, são convertidos em produtos de baixo valor comercial, como, por exemplo, farinhas, </w:t>
      </w:r>
      <w:r w:rsidR="00B65B74" w:rsidRPr="00577ACD">
        <w:t>que são</w:t>
      </w:r>
      <w:r w:rsidR="0004178E" w:rsidRPr="00577ACD">
        <w:t xml:space="preserve"> utilizadas corriqueiramente para nutrição animal</w:t>
      </w:r>
      <w:r w:rsidR="00941271" w:rsidRPr="00577ACD">
        <w:t>.</w:t>
      </w:r>
    </w:p>
    <w:p w:rsidR="0004178E" w:rsidRPr="00577ACD" w:rsidRDefault="009217ED" w:rsidP="0029083B">
      <w:r w:rsidRPr="00577ACD">
        <w:t xml:space="preserve">O objetivo deste trabalho </w:t>
      </w:r>
      <w:r w:rsidR="00941271" w:rsidRPr="00577ACD">
        <w:t>foi</w:t>
      </w:r>
      <w:r w:rsidRPr="00577ACD">
        <w:t xml:space="preserve"> </w:t>
      </w:r>
      <w:r w:rsidR="00B46BE9" w:rsidRPr="00577ACD">
        <w:t xml:space="preserve">comparar </w:t>
      </w:r>
      <w:r w:rsidR="00941271" w:rsidRPr="00577ACD">
        <w:t>um i</w:t>
      </w:r>
      <w:r w:rsidR="00B46BE9" w:rsidRPr="00577ACD">
        <w:t xml:space="preserve">solado </w:t>
      </w:r>
      <w:r w:rsidR="00941271" w:rsidRPr="00577ACD">
        <w:t>p</w:t>
      </w:r>
      <w:r w:rsidR="00B46BE9" w:rsidRPr="00577ACD">
        <w:t xml:space="preserve">roteico </w:t>
      </w:r>
      <w:r w:rsidR="00E32760" w:rsidRPr="00577ACD">
        <w:t xml:space="preserve">de </w:t>
      </w:r>
      <w:r w:rsidR="00941271" w:rsidRPr="00577ACD">
        <w:t>f</w:t>
      </w:r>
      <w:r w:rsidR="00E32760" w:rsidRPr="00577ACD">
        <w:t xml:space="preserve">rango </w:t>
      </w:r>
      <w:r w:rsidR="00B46BE9" w:rsidRPr="00577ACD">
        <w:t>(IPF)</w:t>
      </w:r>
      <w:r w:rsidR="00CC6E84" w:rsidRPr="00577ACD">
        <w:t xml:space="preserve"> </w:t>
      </w:r>
      <w:r w:rsidR="008A5F47" w:rsidRPr="00577ACD">
        <w:t xml:space="preserve">obtido </w:t>
      </w:r>
      <w:r w:rsidR="00CC6E84" w:rsidRPr="00577ACD">
        <w:t xml:space="preserve">pelo método de </w:t>
      </w:r>
      <w:r w:rsidR="008A5F47" w:rsidRPr="00577ACD">
        <w:t>solubilização alcalina e precipitação isoelétrica</w:t>
      </w:r>
      <w:r w:rsidR="00B46BE9" w:rsidRPr="00577ACD">
        <w:t xml:space="preserve"> </w:t>
      </w:r>
      <w:r w:rsidR="00B65B74" w:rsidRPr="00577ACD">
        <w:t xml:space="preserve">das proteínas, </w:t>
      </w:r>
      <w:r w:rsidR="00B46BE9" w:rsidRPr="00577ACD">
        <w:t xml:space="preserve">proveniente de subprodutos da </w:t>
      </w:r>
      <w:r w:rsidR="00E32760" w:rsidRPr="00577ACD">
        <w:t>indústria</w:t>
      </w:r>
      <w:r w:rsidR="00B46BE9" w:rsidRPr="00577ACD">
        <w:t xml:space="preserve"> do frango com </w:t>
      </w:r>
      <w:r w:rsidR="00B65B74" w:rsidRPr="00577ACD">
        <w:t>a farinha (FA), um</w:t>
      </w:r>
      <w:r w:rsidR="00B46BE9" w:rsidRPr="00577ACD">
        <w:t xml:space="preserve"> produto </w:t>
      </w:r>
      <w:r w:rsidR="006034B4" w:rsidRPr="00577ACD">
        <w:t>comercial</w:t>
      </w:r>
      <w:r w:rsidR="00B65B74" w:rsidRPr="00577ACD">
        <w:t>izado em grande escala</w:t>
      </w:r>
      <w:r w:rsidR="004D1E8A" w:rsidRPr="00577ACD">
        <w:t>.</w:t>
      </w:r>
    </w:p>
    <w:p w:rsidR="009D0723" w:rsidRPr="00252C86" w:rsidRDefault="009D0723" w:rsidP="0029083B"/>
    <w:p w:rsidR="009D0723" w:rsidRPr="00B91821" w:rsidRDefault="001A10FF" w:rsidP="001A10FF">
      <w:pPr>
        <w:ind w:firstLine="0"/>
        <w:jc w:val="left"/>
        <w:rPr>
          <w:b/>
          <w:sz w:val="26"/>
        </w:rPr>
      </w:pPr>
      <w:proofErr w:type="gramStart"/>
      <w:r w:rsidRPr="00B91821">
        <w:rPr>
          <w:b/>
          <w:sz w:val="26"/>
        </w:rPr>
        <w:t>2</w:t>
      </w:r>
      <w:proofErr w:type="gramEnd"/>
      <w:r w:rsidRPr="00B91821">
        <w:rPr>
          <w:b/>
          <w:sz w:val="26"/>
        </w:rPr>
        <w:t xml:space="preserve"> REFERENCIAL TEÓRICO</w:t>
      </w:r>
    </w:p>
    <w:p w:rsidR="0076671E" w:rsidRPr="00577ACD" w:rsidRDefault="00630F01" w:rsidP="004B28D7">
      <w:r w:rsidRPr="00577ACD">
        <w:t>Nas últimas décadas, a avicultura brasileira tem apresentado altos índices de crescimento, sendo que em 2012 foram abatidos 12,65 milhões de ton</w:t>
      </w:r>
      <w:r w:rsidR="00BC5FA8" w:rsidRPr="00577ACD">
        <w:t>s</w:t>
      </w:r>
      <w:r w:rsidRPr="00577ACD">
        <w:t xml:space="preserve"> de carne de frango no Brasil (UBABEF, 2012). </w:t>
      </w:r>
      <w:r w:rsidR="00B65B74" w:rsidRPr="00577ACD">
        <w:t>O</w:t>
      </w:r>
      <w:r w:rsidRPr="00577ACD">
        <w:t xml:space="preserve"> processo de abate</w:t>
      </w:r>
      <w:r w:rsidR="00BC5FA8" w:rsidRPr="00577ACD">
        <w:t xml:space="preserve"> </w:t>
      </w:r>
      <w:r w:rsidR="00B65B74" w:rsidRPr="00577ACD">
        <w:t xml:space="preserve">das aves </w:t>
      </w:r>
      <w:r w:rsidR="00BC5FA8" w:rsidRPr="00577ACD">
        <w:t>gera</w:t>
      </w:r>
      <w:r w:rsidRPr="00577ACD">
        <w:t xml:space="preserve"> subprodutos considerados não comestíveis, </w:t>
      </w:r>
      <w:r w:rsidR="00B65B74" w:rsidRPr="00577ACD">
        <w:t>em valores</w:t>
      </w:r>
      <w:r w:rsidRPr="00577ACD">
        <w:t xml:space="preserve"> que </w:t>
      </w:r>
      <w:r w:rsidR="004B28D7" w:rsidRPr="00577ACD">
        <w:t>pode</w:t>
      </w:r>
      <w:r w:rsidR="00B65B74" w:rsidRPr="00577ACD">
        <w:t>m</w:t>
      </w:r>
      <w:r w:rsidR="004B28D7" w:rsidRPr="00577ACD">
        <w:t xml:space="preserve"> chegar até 35% do peso vivo do frango (NUNES </w:t>
      </w:r>
      <w:proofErr w:type="gramStart"/>
      <w:r w:rsidR="004B28D7" w:rsidRPr="00577ACD">
        <w:t>et</w:t>
      </w:r>
      <w:proofErr w:type="gramEnd"/>
      <w:r w:rsidR="004B28D7" w:rsidRPr="00577ACD">
        <w:t xml:space="preserve"> al, 2005). </w:t>
      </w:r>
      <w:r w:rsidR="0076671E" w:rsidRPr="00577ACD">
        <w:t xml:space="preserve">O processo de </w:t>
      </w:r>
      <w:r w:rsidR="002E2CC3" w:rsidRPr="00577ACD">
        <w:t xml:space="preserve">variação do </w:t>
      </w:r>
      <w:proofErr w:type="gramStart"/>
      <w:r w:rsidR="002E2CC3" w:rsidRPr="00577ACD">
        <w:t>pH</w:t>
      </w:r>
      <w:proofErr w:type="gramEnd"/>
      <w:r w:rsidR="002E2CC3" w:rsidRPr="00577ACD">
        <w:t xml:space="preserve"> (ou pH </w:t>
      </w:r>
      <w:proofErr w:type="spellStart"/>
      <w:r w:rsidR="002E2CC3" w:rsidRPr="00577ACD">
        <w:t>shifting</w:t>
      </w:r>
      <w:proofErr w:type="spellEnd"/>
      <w:r w:rsidR="002E2CC3" w:rsidRPr="00577ACD">
        <w:t xml:space="preserve"> </w:t>
      </w:r>
      <w:proofErr w:type="spellStart"/>
      <w:r w:rsidR="002E2CC3" w:rsidRPr="00577ACD">
        <w:t>process</w:t>
      </w:r>
      <w:proofErr w:type="spellEnd"/>
      <w:r w:rsidR="002E2CC3" w:rsidRPr="00577ACD">
        <w:t>)</w:t>
      </w:r>
      <w:r w:rsidR="0076671E" w:rsidRPr="00577ACD">
        <w:t xml:space="preserve"> foi desenvolvido </w:t>
      </w:r>
      <w:r w:rsidR="00BC5FA8" w:rsidRPr="00577ACD">
        <w:t>n</w:t>
      </w:r>
      <w:r w:rsidR="0076671E" w:rsidRPr="00577ACD">
        <w:t>a Uni</w:t>
      </w:r>
      <w:r w:rsidR="002E2CC3" w:rsidRPr="00577ACD">
        <w:t xml:space="preserve">versidade de Massachusetts, </w:t>
      </w:r>
      <w:r w:rsidR="0076671E" w:rsidRPr="00577ACD">
        <w:t xml:space="preserve">Estados Unidos, utilizando o principio de que a solubilidade de um material proteico homogeneizado em água </w:t>
      </w:r>
      <w:r w:rsidR="002E2CC3" w:rsidRPr="00577ACD">
        <w:t>sempre será</w:t>
      </w:r>
      <w:r w:rsidR="0076671E" w:rsidRPr="00577ACD">
        <w:t xml:space="preserve"> afetada pelo pH da mistura (NOLSØE e UNDELAND, 2009).</w:t>
      </w:r>
    </w:p>
    <w:p w:rsidR="004B28D7" w:rsidRPr="00577ACD" w:rsidRDefault="001A7513" w:rsidP="004B28D7">
      <w:r w:rsidRPr="00577ACD">
        <w:t>A</w:t>
      </w:r>
      <w:r w:rsidR="004B28D7" w:rsidRPr="00577ACD">
        <w:t xml:space="preserve"> produção de isolados proteicos</w:t>
      </w:r>
      <w:r w:rsidR="005913D6" w:rsidRPr="00577ACD">
        <w:t xml:space="preserve"> </w:t>
      </w:r>
      <w:r w:rsidR="004B28D7" w:rsidRPr="00577ACD">
        <w:t xml:space="preserve">seria uma alternativa interessante para o aproveitamento </w:t>
      </w:r>
      <w:r w:rsidRPr="00577ACD">
        <w:t>dos</w:t>
      </w:r>
      <w:r w:rsidR="004B28D7" w:rsidRPr="00577ACD">
        <w:t xml:space="preserve"> subprodutos</w:t>
      </w:r>
      <w:r w:rsidRPr="00577ACD">
        <w:t xml:space="preserve"> do abate</w:t>
      </w:r>
      <w:r w:rsidR="004B28D7" w:rsidRPr="00577ACD">
        <w:t xml:space="preserve">, convertendo-os em uma fonte proteica de melhor valor funcional e nutricional em </w:t>
      </w:r>
      <w:r w:rsidR="00C0355B" w:rsidRPr="00577ACD">
        <w:t>comparação com a produção</w:t>
      </w:r>
      <w:r w:rsidR="004B28D7" w:rsidRPr="00577ACD">
        <w:t xml:space="preserve"> </w:t>
      </w:r>
      <w:r w:rsidR="002E2CC3" w:rsidRPr="00577ACD">
        <w:t>comercial</w:t>
      </w:r>
      <w:r w:rsidR="00656042" w:rsidRPr="00577ACD">
        <w:t xml:space="preserve"> </w:t>
      </w:r>
      <w:r w:rsidR="00C0355B" w:rsidRPr="00577ACD">
        <w:t>de</w:t>
      </w:r>
      <w:r w:rsidR="00656042" w:rsidRPr="00577ACD">
        <w:t xml:space="preserve"> farinhas</w:t>
      </w:r>
      <w:r w:rsidR="002E2CC3" w:rsidRPr="00577ACD">
        <w:t>,</w:t>
      </w:r>
      <w:r w:rsidR="004B28D7" w:rsidRPr="00577ACD">
        <w:t xml:space="preserve"> agregando valor ao produto </w:t>
      </w:r>
      <w:r w:rsidR="00C0355B" w:rsidRPr="00577ACD">
        <w:t xml:space="preserve">final </w:t>
      </w:r>
      <w:r w:rsidR="004B28D7" w:rsidRPr="00577ACD">
        <w:t>obtido.</w:t>
      </w:r>
      <w:r w:rsidR="002C4B57" w:rsidRPr="00577ACD">
        <w:t xml:space="preserve"> </w:t>
      </w:r>
      <w:r w:rsidR="00E359EB" w:rsidRPr="00577ACD">
        <w:t>A legislação</w:t>
      </w:r>
      <w:r w:rsidR="005F767F" w:rsidRPr="00577ACD">
        <w:t xml:space="preserve"> brasileira</w:t>
      </w:r>
      <w:r w:rsidR="00E359EB" w:rsidRPr="00577ACD">
        <w:t xml:space="preserve"> (</w:t>
      </w:r>
      <w:r w:rsidR="002C4B57" w:rsidRPr="00577ACD">
        <w:t>Brasil</w:t>
      </w:r>
      <w:r w:rsidR="00E359EB" w:rsidRPr="00577ACD">
        <w:t xml:space="preserve">, </w:t>
      </w:r>
      <w:r w:rsidR="002C4B57" w:rsidRPr="00577ACD">
        <w:t xml:space="preserve">1952) define resíduo não comestível como todo e qualquer resíduo devidamente elaborado, que se enquadre nas denominações e especificações para alimentação animal, tais como farinha de carne; farinha de sangue; farinha de vísceras. </w:t>
      </w:r>
    </w:p>
    <w:p w:rsidR="00EB56B4" w:rsidRPr="00252C86" w:rsidRDefault="00EB56B4" w:rsidP="001A10FF"/>
    <w:p w:rsidR="009D0723" w:rsidRPr="00252C86" w:rsidRDefault="001A10FF" w:rsidP="0029083B">
      <w:pPr>
        <w:pStyle w:val="Ttulodaseoprimria"/>
      </w:pPr>
      <w:proofErr w:type="gramStart"/>
      <w:r w:rsidRPr="00252C86">
        <w:t>3</w:t>
      </w:r>
      <w:proofErr w:type="gramEnd"/>
      <w:r w:rsidR="0082219D" w:rsidRPr="00252C86">
        <w:t xml:space="preserve"> MATERIAIS E MÉTODOS</w:t>
      </w:r>
      <w:r w:rsidR="009F1118" w:rsidRPr="00252C86">
        <w:t xml:space="preserve"> (ou</w:t>
      </w:r>
      <w:r w:rsidR="0029083B" w:rsidRPr="00252C86">
        <w:t xml:space="preserve"> PROCEDIMENTO METODOLÓGICO)</w:t>
      </w:r>
    </w:p>
    <w:p w:rsidR="009D7E77" w:rsidRPr="00252C86" w:rsidRDefault="009D7E77" w:rsidP="009D7E77">
      <w:pPr>
        <w:ind w:firstLine="0"/>
      </w:pPr>
      <w:r w:rsidRPr="00577ACD">
        <w:rPr>
          <w:b/>
          <w:sz w:val="26"/>
        </w:rPr>
        <w:tab/>
      </w:r>
      <w:r w:rsidR="000B03FF" w:rsidRPr="00577ACD">
        <w:t xml:space="preserve">A </w:t>
      </w:r>
      <w:r w:rsidR="002E2CC3" w:rsidRPr="00577ACD">
        <w:t>matéria prima (</w:t>
      </w:r>
      <w:r w:rsidR="000B03FF" w:rsidRPr="00577ACD">
        <w:t>MP</w:t>
      </w:r>
      <w:r w:rsidR="002E2CC3" w:rsidRPr="00577ACD">
        <w:t>)</w:t>
      </w:r>
      <w:r w:rsidR="000B03FF" w:rsidRPr="00577ACD">
        <w:t xml:space="preserve"> e a </w:t>
      </w:r>
      <w:r w:rsidR="00AD62B5" w:rsidRPr="00577ACD">
        <w:t>FA</w:t>
      </w:r>
      <w:r w:rsidRPr="00577ACD">
        <w:t xml:space="preserve"> foram doadas por </w:t>
      </w:r>
      <w:r w:rsidR="000B03FF" w:rsidRPr="00577ACD">
        <w:t>um abatedouro localizad</w:t>
      </w:r>
      <w:r w:rsidR="00E32760" w:rsidRPr="00577ACD">
        <w:t>o</w:t>
      </w:r>
      <w:r w:rsidRPr="00577ACD">
        <w:t xml:space="preserve"> no</w:t>
      </w:r>
      <w:r w:rsidRPr="00252C86">
        <w:t xml:space="preserve"> interior do Rio Grande do Sul. </w:t>
      </w:r>
      <w:r w:rsidR="0094177C" w:rsidRPr="00252C86">
        <w:t xml:space="preserve">O IPF foi produzido </w:t>
      </w:r>
      <w:r w:rsidR="00941271" w:rsidRPr="00252C86">
        <w:t xml:space="preserve">utilizando o processo de variação de </w:t>
      </w:r>
      <w:proofErr w:type="gramStart"/>
      <w:r w:rsidR="00941271" w:rsidRPr="00252C86">
        <w:t>pH</w:t>
      </w:r>
      <w:proofErr w:type="gramEnd"/>
      <w:r w:rsidR="00941271" w:rsidRPr="00252C86">
        <w:t xml:space="preserve"> </w:t>
      </w:r>
      <w:r w:rsidR="0094177C" w:rsidRPr="00252C86">
        <w:t>através d</w:t>
      </w:r>
      <w:r w:rsidR="00E32760" w:rsidRPr="00252C86">
        <w:t>e</w:t>
      </w:r>
      <w:r w:rsidR="0094177C" w:rsidRPr="00252C86">
        <w:t xml:space="preserve"> metodologia </w:t>
      </w:r>
      <w:r w:rsidR="00E32760" w:rsidRPr="00252C86">
        <w:t xml:space="preserve">adaptada </w:t>
      </w:r>
      <w:r w:rsidR="0094177C" w:rsidRPr="00252C86">
        <w:t xml:space="preserve">de FREITAS </w:t>
      </w:r>
      <w:r w:rsidR="0094177C" w:rsidRPr="00252C86">
        <w:rPr>
          <w:i/>
        </w:rPr>
        <w:t>et al</w:t>
      </w:r>
      <w:r w:rsidR="0094177C" w:rsidRPr="00252C86">
        <w:t xml:space="preserve">. (2011). Todas </w:t>
      </w:r>
      <w:r w:rsidR="00E32760" w:rsidRPr="00252C86">
        <w:t xml:space="preserve">as </w:t>
      </w:r>
      <w:r w:rsidR="0094177C" w:rsidRPr="00252C86">
        <w:t>amostras</w:t>
      </w:r>
      <w:r w:rsidRPr="00252C86">
        <w:t xml:space="preserve"> foram caracterizadas quanto sua composição proximal pelos métodos descritos na AOAC (2000) avaliando umidade por secagem em estufa, proteína pelo método de </w:t>
      </w:r>
      <w:proofErr w:type="spellStart"/>
      <w:r w:rsidRPr="00252C86">
        <w:t>micro-Kjeldahl</w:t>
      </w:r>
      <w:proofErr w:type="spellEnd"/>
      <w:r w:rsidRPr="00252C86">
        <w:t xml:space="preserve">, gordura por extração por solvente em </w:t>
      </w:r>
      <w:proofErr w:type="spellStart"/>
      <w:r w:rsidRPr="00252C86">
        <w:t>Sohxlet</w:t>
      </w:r>
      <w:proofErr w:type="spellEnd"/>
      <w:r w:rsidRPr="00252C86">
        <w:t xml:space="preserve"> e cinzas por carbonização em bico de </w:t>
      </w:r>
      <w:r w:rsidR="006560C7" w:rsidRPr="00252C86">
        <w:t>Bunsen</w:t>
      </w:r>
      <w:r w:rsidRPr="00252C86">
        <w:t xml:space="preserve"> e incineração em </w:t>
      </w:r>
      <w:proofErr w:type="spellStart"/>
      <w:r w:rsidRPr="00252C86">
        <w:t>mufla</w:t>
      </w:r>
      <w:proofErr w:type="spellEnd"/>
      <w:r w:rsidRPr="00252C86">
        <w:t>.</w:t>
      </w:r>
    </w:p>
    <w:p w:rsidR="00BC5FA8" w:rsidRPr="00252C86" w:rsidRDefault="00BC5FA8" w:rsidP="009D7E77">
      <w:pPr>
        <w:ind w:firstLine="0"/>
        <w:rPr>
          <w:highlight w:val="yellow"/>
        </w:rPr>
      </w:pPr>
    </w:p>
    <w:p w:rsidR="009D0723" w:rsidRPr="00252C86" w:rsidRDefault="001A10FF" w:rsidP="0029083B">
      <w:pPr>
        <w:pStyle w:val="Ttulodaseoprimria"/>
      </w:pPr>
      <w:proofErr w:type="gramStart"/>
      <w:r w:rsidRPr="00252C86">
        <w:lastRenderedPageBreak/>
        <w:t>4</w:t>
      </w:r>
      <w:proofErr w:type="gramEnd"/>
      <w:r w:rsidR="0082219D" w:rsidRPr="00252C86">
        <w:t xml:space="preserve"> </w:t>
      </w:r>
      <w:r w:rsidR="0029083B" w:rsidRPr="00252C86">
        <w:t xml:space="preserve">RESULTADOS </w:t>
      </w:r>
      <w:r w:rsidR="009F1118" w:rsidRPr="00252C86">
        <w:t>e</w:t>
      </w:r>
      <w:r w:rsidR="0029083B" w:rsidRPr="00252C86">
        <w:t xml:space="preserve"> DISCUSSÃO </w:t>
      </w:r>
    </w:p>
    <w:p w:rsidR="00E359EB" w:rsidRPr="00577ACD" w:rsidRDefault="000F158A" w:rsidP="00E359EB">
      <w:pPr>
        <w:ind w:firstLine="0"/>
        <w:rPr>
          <w:rFonts w:cs="Arial"/>
        </w:rPr>
      </w:pPr>
      <w:r w:rsidRPr="00577ACD">
        <w:rPr>
          <w:b/>
          <w:sz w:val="26"/>
        </w:rPr>
        <w:tab/>
      </w:r>
      <w:r w:rsidRPr="00577ACD">
        <w:t xml:space="preserve">A MP foi </w:t>
      </w:r>
      <w:r w:rsidR="00C0355B" w:rsidRPr="00577ACD">
        <w:t xml:space="preserve">triturada e </w:t>
      </w:r>
      <w:r w:rsidRPr="00577ACD">
        <w:t xml:space="preserve">homogeneizada em água destilada gelada com a proporção de 1:9 (m/v). A mistura foi submetida a </w:t>
      </w:r>
      <w:proofErr w:type="gramStart"/>
      <w:r w:rsidR="00C0355B" w:rsidRPr="00577ACD">
        <w:t>pH</w:t>
      </w:r>
      <w:proofErr w:type="gramEnd"/>
      <w:r w:rsidR="00C0355B" w:rsidRPr="00577ACD">
        <w:t xml:space="preserve"> </w:t>
      </w:r>
      <w:r w:rsidRPr="00577ACD">
        <w:t>11,0 por 20 minutos</w:t>
      </w:r>
      <w:r w:rsidR="00BC5FA8" w:rsidRPr="00577ACD">
        <w:t xml:space="preserve">. Na precipitação isoelétrica, a mistura foi </w:t>
      </w:r>
      <w:r w:rsidR="00C0355B" w:rsidRPr="00577ACD">
        <w:t>ajustada a</w:t>
      </w:r>
      <w:r w:rsidR="00BC5FA8" w:rsidRPr="00577ACD">
        <w:t xml:space="preserve"> </w:t>
      </w:r>
      <w:proofErr w:type="gramStart"/>
      <w:r w:rsidR="00C0355B" w:rsidRPr="00577ACD">
        <w:t>pH</w:t>
      </w:r>
      <w:proofErr w:type="gramEnd"/>
      <w:r w:rsidR="00C0355B" w:rsidRPr="00577ACD">
        <w:t xml:space="preserve"> 5,25 e logo centrifugada.</w:t>
      </w:r>
    </w:p>
    <w:p w:rsidR="00AD106A" w:rsidRPr="00252C86" w:rsidRDefault="0022674E" w:rsidP="00941271">
      <w:pPr>
        <w:rPr>
          <w:rFonts w:cs="Arial"/>
        </w:rPr>
      </w:pPr>
      <w:r w:rsidRPr="00252C86">
        <w:rPr>
          <w:rFonts w:cs="Arial"/>
        </w:rPr>
        <w:t xml:space="preserve">Os resultados </w:t>
      </w:r>
      <w:r w:rsidR="002B4CDF" w:rsidRPr="00252C86">
        <w:rPr>
          <w:rFonts w:cs="Arial"/>
        </w:rPr>
        <w:t>apresentados pela</w:t>
      </w:r>
      <w:r w:rsidRPr="00252C86">
        <w:rPr>
          <w:rFonts w:cs="Arial"/>
        </w:rPr>
        <w:t xml:space="preserve"> </w:t>
      </w:r>
      <w:r w:rsidR="00C672A7" w:rsidRPr="00252C86">
        <w:rPr>
          <w:rFonts w:cs="Arial"/>
        </w:rPr>
        <w:t>composição proximal</w:t>
      </w:r>
      <w:r w:rsidR="006560C7" w:rsidRPr="00252C86">
        <w:rPr>
          <w:rFonts w:cs="Arial"/>
        </w:rPr>
        <w:t xml:space="preserve"> </w:t>
      </w:r>
      <w:r w:rsidR="002B4CDF" w:rsidRPr="00252C86">
        <w:rPr>
          <w:rFonts w:cs="Arial"/>
        </w:rPr>
        <w:t xml:space="preserve">dos materiais </w:t>
      </w:r>
      <w:r w:rsidR="005F767F" w:rsidRPr="00252C86">
        <w:rPr>
          <w:rFonts w:cs="Arial"/>
        </w:rPr>
        <w:t xml:space="preserve">de trabalho </w:t>
      </w:r>
      <w:r w:rsidR="006560C7" w:rsidRPr="00252C86">
        <w:rPr>
          <w:rFonts w:cs="Arial"/>
        </w:rPr>
        <w:t>estão expostos na T</w:t>
      </w:r>
      <w:r w:rsidRPr="00252C86">
        <w:rPr>
          <w:rFonts w:cs="Arial"/>
        </w:rPr>
        <w:t>abela 1</w:t>
      </w:r>
      <w:r w:rsidR="00C672A7" w:rsidRPr="00252C86">
        <w:rPr>
          <w:rFonts w:cs="Arial"/>
        </w:rPr>
        <w:t>.</w:t>
      </w:r>
    </w:p>
    <w:p w:rsidR="007146BD" w:rsidRPr="00252C86" w:rsidRDefault="007146BD" w:rsidP="007146BD">
      <w:pPr>
        <w:jc w:val="center"/>
        <w:rPr>
          <w:rFonts w:cs="Arial"/>
          <w:sz w:val="22"/>
          <w:szCs w:val="22"/>
        </w:rPr>
      </w:pPr>
      <w:r w:rsidRPr="00252C86">
        <w:rPr>
          <w:rFonts w:cs="Arial"/>
          <w:sz w:val="22"/>
          <w:szCs w:val="22"/>
        </w:rPr>
        <w:t xml:space="preserve">Tabela </w:t>
      </w:r>
      <w:r w:rsidR="00870AB1" w:rsidRPr="00252C86">
        <w:rPr>
          <w:rFonts w:cs="Arial"/>
          <w:sz w:val="22"/>
          <w:szCs w:val="22"/>
        </w:rPr>
        <w:t>1</w:t>
      </w:r>
      <w:r w:rsidRPr="00252C86">
        <w:rPr>
          <w:rFonts w:cs="Arial"/>
          <w:sz w:val="22"/>
          <w:szCs w:val="22"/>
        </w:rPr>
        <w:t xml:space="preserve"> – </w:t>
      </w:r>
      <w:r w:rsidR="002B4CDF" w:rsidRPr="00252C86">
        <w:rPr>
          <w:rFonts w:cs="Arial"/>
          <w:sz w:val="22"/>
          <w:szCs w:val="22"/>
        </w:rPr>
        <w:t>C</w:t>
      </w:r>
      <w:r w:rsidR="00E32760" w:rsidRPr="00252C86">
        <w:rPr>
          <w:rFonts w:cs="Arial"/>
          <w:sz w:val="22"/>
          <w:szCs w:val="22"/>
        </w:rPr>
        <w:t xml:space="preserve">omposição proximal </w:t>
      </w:r>
      <w:r w:rsidR="002B4CDF" w:rsidRPr="00252C86">
        <w:rPr>
          <w:rFonts w:cs="Arial"/>
          <w:sz w:val="22"/>
          <w:szCs w:val="22"/>
        </w:rPr>
        <w:t xml:space="preserve">da matéria prima (MP), farinha </w:t>
      </w:r>
      <w:r w:rsidR="00AD62B5" w:rsidRPr="00252C86">
        <w:rPr>
          <w:rFonts w:cs="Arial"/>
          <w:sz w:val="22"/>
          <w:szCs w:val="22"/>
        </w:rPr>
        <w:t>(FA</w:t>
      </w:r>
      <w:r w:rsidR="002B4CDF" w:rsidRPr="00252C86">
        <w:rPr>
          <w:rFonts w:cs="Arial"/>
          <w:sz w:val="22"/>
          <w:szCs w:val="22"/>
        </w:rPr>
        <w:t>) e isolado proteico de frango (IPF</w:t>
      </w:r>
      <w:r w:rsidR="001A7513" w:rsidRPr="00252C86">
        <w:rPr>
          <w:rFonts w:cs="Arial"/>
          <w:sz w:val="22"/>
          <w:szCs w:val="22"/>
        </w:rPr>
        <w:t>) em base seca.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62"/>
        <w:gridCol w:w="761"/>
        <w:gridCol w:w="828"/>
        <w:gridCol w:w="761"/>
        <w:gridCol w:w="828"/>
        <w:gridCol w:w="761"/>
        <w:gridCol w:w="828"/>
      </w:tblGrid>
      <w:tr w:rsidR="00C93342" w:rsidRPr="00252C86" w:rsidTr="00C93342">
        <w:trPr>
          <w:jc w:val="center"/>
        </w:trPr>
        <w:tc>
          <w:tcPr>
            <w:tcW w:w="0" w:type="auto"/>
            <w:vMerge w:val="restart"/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Componente</w:t>
            </w:r>
          </w:p>
        </w:tc>
        <w:tc>
          <w:tcPr>
            <w:tcW w:w="0" w:type="auto"/>
            <w:gridSpan w:val="2"/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MP</w:t>
            </w:r>
          </w:p>
        </w:tc>
        <w:tc>
          <w:tcPr>
            <w:tcW w:w="0" w:type="auto"/>
            <w:gridSpan w:val="2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F</w:t>
            </w:r>
            <w:r w:rsidR="00AD62B5" w:rsidRPr="00252C86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2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IPF</w:t>
            </w:r>
          </w:p>
        </w:tc>
      </w:tr>
      <w:tr w:rsidR="00C93342" w:rsidRPr="00252C86" w:rsidTr="00C93342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AC573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Média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Desvio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3E0E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Média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3E0E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Desvio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3E0E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Média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93342" w:rsidRPr="00252C86" w:rsidRDefault="00C93342" w:rsidP="003E0E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Desvio</w:t>
            </w:r>
          </w:p>
        </w:tc>
      </w:tr>
      <w:tr w:rsidR="00C93342" w:rsidRPr="00252C86" w:rsidTr="00C9334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Proteína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0,020</w:t>
            </w:r>
          </w:p>
        </w:tc>
      </w:tr>
      <w:tr w:rsidR="00C93342" w:rsidRPr="00252C86" w:rsidTr="00C9334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Lipídios (%)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93342" w:rsidRPr="00252C86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2C86">
              <w:rPr>
                <w:rFonts w:cs="Arial"/>
                <w:sz w:val="20"/>
                <w:szCs w:val="20"/>
              </w:rPr>
              <w:t>0,058</w:t>
            </w:r>
          </w:p>
        </w:tc>
      </w:tr>
      <w:tr w:rsidR="00C93342" w:rsidRPr="00577ACD" w:rsidTr="00C93342">
        <w:trPr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:rsidR="00C93342" w:rsidRPr="00577ACD" w:rsidRDefault="002E2CC3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Cinzas</w:t>
            </w:r>
            <w:r w:rsidR="00C93342" w:rsidRPr="00577ACD">
              <w:rPr>
                <w:rFonts w:cs="Arial"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93342" w:rsidRPr="00577ACD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16,4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93342" w:rsidRPr="00577ACD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nil"/>
            </w:tcBorders>
          </w:tcPr>
          <w:p w:rsidR="00C93342" w:rsidRPr="00577ACD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nil"/>
            </w:tcBorders>
          </w:tcPr>
          <w:p w:rsidR="00C93342" w:rsidRPr="00577ACD" w:rsidRDefault="00C93342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</w:tcBorders>
          </w:tcPr>
          <w:p w:rsidR="00C93342" w:rsidRPr="00577ACD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nil"/>
            </w:tcBorders>
          </w:tcPr>
          <w:p w:rsidR="00C93342" w:rsidRPr="00577ACD" w:rsidRDefault="00C672A7" w:rsidP="00AC573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77ACD">
              <w:rPr>
                <w:rFonts w:cs="Arial"/>
                <w:sz w:val="20"/>
                <w:szCs w:val="20"/>
              </w:rPr>
              <w:t>0,007</w:t>
            </w:r>
          </w:p>
        </w:tc>
      </w:tr>
    </w:tbl>
    <w:p w:rsidR="00D3026A" w:rsidRPr="00577ACD" w:rsidRDefault="00363B21" w:rsidP="0029083B">
      <w:pPr>
        <w:rPr>
          <w:rFonts w:cs="Arial"/>
        </w:rPr>
      </w:pPr>
      <w:r w:rsidRPr="00252C86">
        <w:rPr>
          <w:rFonts w:cs="Arial"/>
        </w:rPr>
        <w:t>Diante do exposto na Tabela 1, pode</w:t>
      </w:r>
      <w:r w:rsidR="00E32760" w:rsidRPr="00252C86">
        <w:rPr>
          <w:rFonts w:cs="Arial"/>
        </w:rPr>
        <w:t>-se</w:t>
      </w:r>
      <w:r w:rsidRPr="00252C86">
        <w:rPr>
          <w:rFonts w:cs="Arial"/>
        </w:rPr>
        <w:t xml:space="preserve"> veri</w:t>
      </w:r>
      <w:r w:rsidR="00E359EB" w:rsidRPr="00252C86">
        <w:rPr>
          <w:rFonts w:cs="Arial"/>
        </w:rPr>
        <w:t>ficar que a produção de isolado proteico</w:t>
      </w:r>
      <w:r w:rsidRPr="00252C86">
        <w:rPr>
          <w:rFonts w:cs="Arial"/>
        </w:rPr>
        <w:t xml:space="preserve"> </w:t>
      </w:r>
      <w:r w:rsidR="00E32760" w:rsidRPr="00252C86">
        <w:rPr>
          <w:rFonts w:cs="Arial"/>
        </w:rPr>
        <w:t xml:space="preserve">de frango </w:t>
      </w:r>
      <w:r w:rsidRPr="00252C86">
        <w:rPr>
          <w:rFonts w:cs="Arial"/>
        </w:rPr>
        <w:t xml:space="preserve">com </w:t>
      </w:r>
      <w:r w:rsidR="00D55559">
        <w:rPr>
          <w:rFonts w:cs="Arial"/>
        </w:rPr>
        <w:t>subproduto do abate</w:t>
      </w:r>
      <w:r w:rsidRPr="00252C86">
        <w:rPr>
          <w:rFonts w:cs="Arial"/>
        </w:rPr>
        <w:t xml:space="preserve"> é um processo viável e de ganhos</w:t>
      </w:r>
      <w:r w:rsidR="002B4CDF" w:rsidRPr="00252C86">
        <w:rPr>
          <w:rFonts w:cs="Arial"/>
        </w:rPr>
        <w:t xml:space="preserve">, quando comparado com </w:t>
      </w:r>
      <w:r w:rsidRPr="00252C86">
        <w:rPr>
          <w:rFonts w:cs="Arial"/>
        </w:rPr>
        <w:t xml:space="preserve">o produto tradicional comercial </w:t>
      </w:r>
      <w:r w:rsidR="00E32760" w:rsidRPr="00252C86">
        <w:rPr>
          <w:rFonts w:cs="Arial"/>
        </w:rPr>
        <w:t>(</w:t>
      </w:r>
      <w:r w:rsidRPr="00252C86">
        <w:rPr>
          <w:rFonts w:cs="Arial"/>
        </w:rPr>
        <w:t>F</w:t>
      </w:r>
      <w:r w:rsidR="00AD62B5" w:rsidRPr="00252C86">
        <w:rPr>
          <w:rFonts w:cs="Arial"/>
        </w:rPr>
        <w:t>A</w:t>
      </w:r>
      <w:r w:rsidR="00E32760" w:rsidRPr="00252C86">
        <w:rPr>
          <w:rFonts w:cs="Arial"/>
        </w:rPr>
        <w:t>)</w:t>
      </w:r>
      <w:r w:rsidRPr="00252C86">
        <w:rPr>
          <w:rFonts w:cs="Arial"/>
        </w:rPr>
        <w:t xml:space="preserve">. Quanto ao teor </w:t>
      </w:r>
      <w:r w:rsidRPr="00577ACD">
        <w:rPr>
          <w:rFonts w:cs="Arial"/>
        </w:rPr>
        <w:t xml:space="preserve">proteico, </w:t>
      </w:r>
      <w:r w:rsidR="002B4CDF" w:rsidRPr="00577ACD">
        <w:rPr>
          <w:rFonts w:cs="Arial"/>
        </w:rPr>
        <w:t>ele aumentou</w:t>
      </w:r>
      <w:r w:rsidRPr="00577ACD">
        <w:rPr>
          <w:rFonts w:cs="Arial"/>
        </w:rPr>
        <w:t xml:space="preserve"> </w:t>
      </w:r>
      <w:r w:rsidR="00C0355B" w:rsidRPr="00577ACD">
        <w:rPr>
          <w:rFonts w:cs="Arial"/>
        </w:rPr>
        <w:t>quase</w:t>
      </w:r>
      <w:r w:rsidRPr="00577ACD">
        <w:rPr>
          <w:rFonts w:cs="Arial"/>
        </w:rPr>
        <w:t xml:space="preserve"> 10% no IPF em relação </w:t>
      </w:r>
      <w:r w:rsidR="00E32760" w:rsidRPr="00577ACD">
        <w:rPr>
          <w:rFonts w:cs="Arial"/>
        </w:rPr>
        <w:t>à</w:t>
      </w:r>
      <w:r w:rsidRPr="00577ACD">
        <w:rPr>
          <w:rFonts w:cs="Arial"/>
        </w:rPr>
        <w:t xml:space="preserve"> F</w:t>
      </w:r>
      <w:r w:rsidR="00AD62B5" w:rsidRPr="00577ACD">
        <w:rPr>
          <w:rFonts w:cs="Arial"/>
        </w:rPr>
        <w:t>A</w:t>
      </w:r>
      <w:r w:rsidRPr="00577ACD">
        <w:rPr>
          <w:rFonts w:cs="Arial"/>
        </w:rPr>
        <w:t xml:space="preserve"> e 30% em relação </w:t>
      </w:r>
      <w:r w:rsidR="00E32760" w:rsidRPr="00577ACD">
        <w:rPr>
          <w:rFonts w:cs="Arial"/>
        </w:rPr>
        <w:t>à</w:t>
      </w:r>
      <w:r w:rsidRPr="00577ACD">
        <w:rPr>
          <w:rFonts w:cs="Arial"/>
        </w:rPr>
        <w:t xml:space="preserve"> MP. </w:t>
      </w:r>
      <w:r w:rsidR="002E2CC3" w:rsidRPr="00577ACD">
        <w:rPr>
          <w:rFonts w:cs="Arial"/>
        </w:rPr>
        <w:t>Houve redução da quantidade</w:t>
      </w:r>
      <w:r w:rsidRPr="00577ACD">
        <w:rPr>
          <w:rFonts w:cs="Arial"/>
        </w:rPr>
        <w:t xml:space="preserve"> de lipídios e de </w:t>
      </w:r>
      <w:r w:rsidR="002E2CC3" w:rsidRPr="00577ACD">
        <w:rPr>
          <w:rFonts w:cs="Arial"/>
        </w:rPr>
        <w:t>cinzas</w:t>
      </w:r>
      <w:r w:rsidRPr="00577ACD">
        <w:rPr>
          <w:rFonts w:cs="Arial"/>
        </w:rPr>
        <w:t xml:space="preserve"> tanto em relação ao IPF x F</w:t>
      </w:r>
      <w:r w:rsidR="00AD62B5" w:rsidRPr="00577ACD">
        <w:rPr>
          <w:rFonts w:cs="Arial"/>
        </w:rPr>
        <w:t>A</w:t>
      </w:r>
      <w:r w:rsidRPr="00577ACD">
        <w:rPr>
          <w:rFonts w:cs="Arial"/>
        </w:rPr>
        <w:t xml:space="preserve"> (redução de 2,5%) </w:t>
      </w:r>
      <w:r w:rsidR="00C0355B" w:rsidRPr="00577ACD">
        <w:rPr>
          <w:rFonts w:cs="Arial"/>
        </w:rPr>
        <w:t>como</w:t>
      </w:r>
      <w:r w:rsidRPr="00577ACD">
        <w:rPr>
          <w:rFonts w:cs="Arial"/>
        </w:rPr>
        <w:t xml:space="preserve"> IPF x MP (redução de aproximadamente 8%). Estes dados </w:t>
      </w:r>
      <w:r w:rsidR="00C0355B" w:rsidRPr="00577ACD">
        <w:rPr>
          <w:rFonts w:cs="Arial"/>
        </w:rPr>
        <w:t xml:space="preserve">justificariam o uso </w:t>
      </w:r>
      <w:r w:rsidR="005F767F" w:rsidRPr="00577ACD">
        <w:rPr>
          <w:rFonts w:cs="Arial"/>
        </w:rPr>
        <w:t xml:space="preserve">do </w:t>
      </w:r>
      <w:r w:rsidRPr="00577ACD">
        <w:rPr>
          <w:rFonts w:cs="Arial"/>
        </w:rPr>
        <w:t xml:space="preserve">processo de isolamento </w:t>
      </w:r>
      <w:r w:rsidR="005F767F" w:rsidRPr="00577ACD">
        <w:rPr>
          <w:rFonts w:cs="Arial"/>
        </w:rPr>
        <w:t>das proteínas quando comparado com o processo</w:t>
      </w:r>
      <w:r w:rsidRPr="00577ACD">
        <w:rPr>
          <w:rFonts w:cs="Arial"/>
        </w:rPr>
        <w:t xml:space="preserve"> comercia</w:t>
      </w:r>
      <w:r w:rsidR="005F767F" w:rsidRPr="00577ACD">
        <w:rPr>
          <w:rFonts w:cs="Arial"/>
        </w:rPr>
        <w:t xml:space="preserve">l atualmente </w:t>
      </w:r>
      <w:r w:rsidR="00C0355B" w:rsidRPr="00577ACD">
        <w:rPr>
          <w:rFonts w:cs="Arial"/>
        </w:rPr>
        <w:t>utiliz</w:t>
      </w:r>
      <w:bookmarkStart w:id="0" w:name="_GoBack"/>
      <w:bookmarkEnd w:id="0"/>
      <w:r w:rsidR="00D55559" w:rsidRPr="00577ACD">
        <w:rPr>
          <w:rFonts w:cs="Arial"/>
        </w:rPr>
        <w:t xml:space="preserve">ado </w:t>
      </w:r>
      <w:r w:rsidR="00C0355B" w:rsidRPr="00577ACD">
        <w:rPr>
          <w:rFonts w:cs="Arial"/>
        </w:rPr>
        <w:t>nas indústrias de frango</w:t>
      </w:r>
      <w:r w:rsidR="005F767F" w:rsidRPr="00577ACD">
        <w:rPr>
          <w:rFonts w:cs="Arial"/>
        </w:rPr>
        <w:t>.</w:t>
      </w:r>
    </w:p>
    <w:p w:rsidR="00D3026A" w:rsidRPr="00252C86" w:rsidRDefault="00D3026A" w:rsidP="00E359EB">
      <w:pPr>
        <w:ind w:firstLine="0"/>
        <w:rPr>
          <w:rFonts w:cs="Arial"/>
        </w:rPr>
      </w:pPr>
    </w:p>
    <w:p w:rsidR="00D3026A" w:rsidRPr="00252C86" w:rsidRDefault="00D3026A" w:rsidP="00D3026A">
      <w:pPr>
        <w:pStyle w:val="Ttulodaseoprimria"/>
        <w:rPr>
          <w:sz w:val="24"/>
        </w:rPr>
      </w:pPr>
      <w:r w:rsidRPr="00252C86">
        <w:rPr>
          <w:sz w:val="24"/>
        </w:rPr>
        <w:t xml:space="preserve">5 </w:t>
      </w:r>
      <w:r w:rsidRPr="00B91821">
        <w:t>CONSIDERAÇÕES</w:t>
      </w:r>
      <w:r w:rsidRPr="00252C86">
        <w:rPr>
          <w:sz w:val="24"/>
        </w:rPr>
        <w:t xml:space="preserve"> </w:t>
      </w:r>
      <w:r w:rsidRPr="00B91821">
        <w:t>FINAIS</w:t>
      </w:r>
    </w:p>
    <w:p w:rsidR="00D3026A" w:rsidRPr="00252C86" w:rsidRDefault="00363B21" w:rsidP="0029083B">
      <w:pPr>
        <w:rPr>
          <w:rFonts w:cs="Arial"/>
        </w:rPr>
      </w:pPr>
      <w:r w:rsidRPr="00577ACD">
        <w:rPr>
          <w:rFonts w:cs="Arial"/>
        </w:rPr>
        <w:t xml:space="preserve">A MP sugerida </w:t>
      </w:r>
      <w:r w:rsidR="00B65B74" w:rsidRPr="00577ACD">
        <w:rPr>
          <w:rFonts w:cs="Arial"/>
        </w:rPr>
        <w:t xml:space="preserve">(subprodutos da industrialização do frango) </w:t>
      </w:r>
      <w:r w:rsidRPr="00577ACD">
        <w:rPr>
          <w:rFonts w:cs="Arial"/>
        </w:rPr>
        <w:t>pode ser utilizada</w:t>
      </w:r>
      <w:r w:rsidRPr="00252C86">
        <w:rPr>
          <w:rFonts w:cs="Arial"/>
        </w:rPr>
        <w:t xml:space="preserve"> como base para obtenção de isolados proteicos</w:t>
      </w:r>
      <w:r w:rsidR="005F767F" w:rsidRPr="00252C86">
        <w:rPr>
          <w:rFonts w:cs="Arial"/>
        </w:rPr>
        <w:t xml:space="preserve"> de interesse</w:t>
      </w:r>
      <w:r w:rsidRPr="00252C86">
        <w:rPr>
          <w:rFonts w:cs="Arial"/>
        </w:rPr>
        <w:t xml:space="preserve">. </w:t>
      </w:r>
      <w:r w:rsidR="005F767F" w:rsidRPr="00252C86">
        <w:rPr>
          <w:rFonts w:cs="Arial"/>
        </w:rPr>
        <w:t>Foi observado o aumento da concentração das</w:t>
      </w:r>
      <w:r w:rsidRPr="00252C86">
        <w:rPr>
          <w:rFonts w:cs="Arial"/>
        </w:rPr>
        <w:t xml:space="preserve"> proteínas no IPF em relação </w:t>
      </w:r>
      <w:r w:rsidR="006560C7" w:rsidRPr="00252C86">
        <w:rPr>
          <w:rFonts w:cs="Arial"/>
        </w:rPr>
        <w:t>à</w:t>
      </w:r>
      <w:r w:rsidRPr="00252C86">
        <w:rPr>
          <w:rFonts w:cs="Arial"/>
        </w:rPr>
        <w:t xml:space="preserve"> </w:t>
      </w:r>
      <w:r w:rsidR="00AD62B5" w:rsidRPr="00252C86">
        <w:rPr>
          <w:rFonts w:cs="Arial"/>
        </w:rPr>
        <w:t>FA</w:t>
      </w:r>
      <w:r w:rsidRPr="00252C86">
        <w:rPr>
          <w:rFonts w:cs="Arial"/>
        </w:rPr>
        <w:t xml:space="preserve"> comercial</w:t>
      </w:r>
      <w:r w:rsidR="005F767F" w:rsidRPr="00252C86">
        <w:rPr>
          <w:rFonts w:cs="Arial"/>
        </w:rPr>
        <w:t>, assim como a</w:t>
      </w:r>
      <w:r w:rsidRPr="00252C86">
        <w:rPr>
          <w:rFonts w:cs="Arial"/>
        </w:rPr>
        <w:t xml:space="preserve"> redução em teores de gordura e cinzas, aspectos positivos quanto </w:t>
      </w:r>
      <w:r w:rsidR="006560C7" w:rsidRPr="00252C86">
        <w:rPr>
          <w:rFonts w:cs="Arial"/>
        </w:rPr>
        <w:t>à</w:t>
      </w:r>
      <w:r w:rsidRPr="00252C86">
        <w:rPr>
          <w:rFonts w:cs="Arial"/>
        </w:rPr>
        <w:t xml:space="preserve"> possível aplicação do IPF em alimentação animal.</w:t>
      </w:r>
    </w:p>
    <w:p w:rsidR="00363B21" w:rsidRDefault="00363B21" w:rsidP="00E359EB">
      <w:pPr>
        <w:ind w:firstLine="0"/>
        <w:rPr>
          <w:rFonts w:cs="Arial"/>
        </w:rPr>
      </w:pPr>
    </w:p>
    <w:p w:rsidR="00D3026A" w:rsidRPr="002E2CC3" w:rsidRDefault="00D3026A" w:rsidP="00D3026A">
      <w:pPr>
        <w:pStyle w:val="Ttulodaseoprimria"/>
        <w:jc w:val="left"/>
        <w:rPr>
          <w:lang w:val="en-US"/>
        </w:rPr>
      </w:pPr>
      <w:r w:rsidRPr="002E2CC3">
        <w:rPr>
          <w:lang w:val="en-US"/>
        </w:rPr>
        <w:t>REFERÊNCIAS</w:t>
      </w:r>
    </w:p>
    <w:p w:rsidR="00E31AE4" w:rsidRPr="00E31AE4" w:rsidRDefault="00E31AE4" w:rsidP="00E31AE4">
      <w:pPr>
        <w:ind w:left="284" w:hanging="284"/>
        <w:rPr>
          <w:rFonts w:cs="Arial"/>
        </w:rPr>
      </w:pPr>
      <w:r w:rsidRPr="002E2CC3">
        <w:rPr>
          <w:rFonts w:cs="Arial"/>
          <w:lang w:val="en-US"/>
        </w:rPr>
        <w:t xml:space="preserve">AOAC, Association of Official Analytical Chemists International. </w:t>
      </w:r>
      <w:proofErr w:type="gramStart"/>
      <w:r w:rsidRPr="002E2CC3">
        <w:rPr>
          <w:rFonts w:cs="Arial"/>
          <w:b/>
          <w:lang w:val="en-US"/>
        </w:rPr>
        <w:t>Official Methods of Analysis of the Association of Official Analytical Chemists</w:t>
      </w:r>
      <w:r w:rsidRPr="002E2CC3">
        <w:rPr>
          <w:rFonts w:cs="Arial"/>
          <w:lang w:val="en-US"/>
        </w:rPr>
        <w:t>.</w:t>
      </w:r>
      <w:proofErr w:type="gramEnd"/>
      <w:r w:rsidRPr="002E2CC3">
        <w:rPr>
          <w:rFonts w:cs="Arial"/>
          <w:lang w:val="en-US"/>
        </w:rPr>
        <w:t xml:space="preserve"> </w:t>
      </w:r>
      <w:r w:rsidRPr="00E31AE4">
        <w:rPr>
          <w:rFonts w:cs="Arial"/>
        </w:rPr>
        <w:t>17 ed., Gaithersburg: AOAC, 2000.</w:t>
      </w:r>
    </w:p>
    <w:p w:rsidR="00E32760" w:rsidRDefault="00BC3618" w:rsidP="00E32760">
      <w:pPr>
        <w:ind w:left="284" w:hanging="284"/>
        <w:rPr>
          <w:rFonts w:cs="Arial"/>
        </w:rPr>
      </w:pPr>
      <w:r w:rsidRPr="00BC3618">
        <w:rPr>
          <w:rFonts w:cs="Arial"/>
        </w:rPr>
        <w:t>BRASIL. Regulamento da Inspeção Industrial e Sanitária de Produtos de Origem Animal (RIISPOA). Ministério da Agricultura, Pecuária e Abastecimento. C.7, seção 1. Brasília, 1952.</w:t>
      </w:r>
    </w:p>
    <w:p w:rsidR="005913D6" w:rsidRPr="001A7513" w:rsidRDefault="00BC3618" w:rsidP="005913D6">
      <w:pPr>
        <w:ind w:left="284" w:hanging="284"/>
        <w:rPr>
          <w:rFonts w:cs="Arial"/>
          <w:lang w:val="en-US"/>
        </w:rPr>
      </w:pPr>
      <w:r w:rsidRPr="001A7513">
        <w:rPr>
          <w:rFonts w:cs="Arial"/>
          <w:lang w:val="en-US"/>
        </w:rPr>
        <w:t>FREITAS, I. R.; GAUTÉRIO, G. V.; RIOS,</w:t>
      </w:r>
      <w:r w:rsidR="005F767F" w:rsidRPr="001A7513">
        <w:rPr>
          <w:rFonts w:cs="Arial"/>
          <w:lang w:val="en-US"/>
        </w:rPr>
        <w:t xml:space="preserve"> D. G.; PRENTICE, C. Functionalit</w:t>
      </w:r>
      <w:r w:rsidRPr="001A7513">
        <w:rPr>
          <w:rFonts w:cs="Arial"/>
          <w:lang w:val="en-US"/>
        </w:rPr>
        <w:t xml:space="preserve">y of </w:t>
      </w:r>
      <w:r w:rsidR="00941271" w:rsidRPr="001A7513">
        <w:rPr>
          <w:rFonts w:cs="Arial"/>
          <w:lang w:val="en-US"/>
        </w:rPr>
        <w:t>p</w:t>
      </w:r>
      <w:r w:rsidRPr="001A7513">
        <w:rPr>
          <w:rFonts w:cs="Arial"/>
          <w:lang w:val="en-US"/>
        </w:rPr>
        <w:t xml:space="preserve">rotein </w:t>
      </w:r>
      <w:r w:rsidR="00941271" w:rsidRPr="001A7513">
        <w:rPr>
          <w:rFonts w:cs="Arial"/>
          <w:lang w:val="en-US"/>
        </w:rPr>
        <w:t>i</w:t>
      </w:r>
      <w:r w:rsidRPr="001A7513">
        <w:rPr>
          <w:rFonts w:cs="Arial"/>
          <w:lang w:val="en-US"/>
        </w:rPr>
        <w:t xml:space="preserve">solates from Argentine </w:t>
      </w:r>
      <w:r w:rsidR="00941271" w:rsidRPr="001A7513">
        <w:rPr>
          <w:rFonts w:cs="Arial"/>
          <w:lang w:val="en-US"/>
        </w:rPr>
        <w:t>a</w:t>
      </w:r>
      <w:r w:rsidRPr="001A7513">
        <w:rPr>
          <w:rFonts w:cs="Arial"/>
          <w:lang w:val="en-US"/>
        </w:rPr>
        <w:t>nchovy (</w:t>
      </w:r>
      <w:proofErr w:type="spellStart"/>
      <w:r w:rsidRPr="001A7513">
        <w:rPr>
          <w:rFonts w:cs="Arial"/>
          <w:lang w:val="en-US"/>
        </w:rPr>
        <w:t>Engraulis</w:t>
      </w:r>
      <w:proofErr w:type="spellEnd"/>
      <w:r w:rsidRPr="001A7513">
        <w:rPr>
          <w:rFonts w:cs="Arial"/>
          <w:lang w:val="en-US"/>
        </w:rPr>
        <w:t xml:space="preserve"> </w:t>
      </w:r>
      <w:proofErr w:type="spellStart"/>
      <w:r w:rsidRPr="001A7513">
        <w:rPr>
          <w:rFonts w:cs="Arial"/>
          <w:lang w:val="en-US"/>
        </w:rPr>
        <w:t>anchoita</w:t>
      </w:r>
      <w:proofErr w:type="spellEnd"/>
      <w:r w:rsidRPr="001A7513">
        <w:rPr>
          <w:rFonts w:cs="Arial"/>
          <w:lang w:val="en-US"/>
        </w:rPr>
        <w:t>) residue obtained using pH shif</w:t>
      </w:r>
      <w:r w:rsidR="005F767F" w:rsidRPr="001A7513">
        <w:rPr>
          <w:rFonts w:cs="Arial"/>
          <w:lang w:val="en-US"/>
        </w:rPr>
        <w:t>t</w:t>
      </w:r>
      <w:r w:rsidRPr="001A7513">
        <w:rPr>
          <w:rFonts w:cs="Arial"/>
          <w:lang w:val="en-US"/>
        </w:rPr>
        <w:t xml:space="preserve"> process. </w:t>
      </w:r>
      <w:proofErr w:type="gramStart"/>
      <w:r w:rsidRPr="001A7513">
        <w:rPr>
          <w:rFonts w:cs="Arial"/>
          <w:b/>
          <w:lang w:val="en-US"/>
        </w:rPr>
        <w:t>Journal of Food Science and Engineering</w:t>
      </w:r>
      <w:r w:rsidRPr="001A7513">
        <w:rPr>
          <w:rFonts w:cs="Arial"/>
          <w:lang w:val="en-US"/>
        </w:rPr>
        <w:t>.</w:t>
      </w:r>
      <w:proofErr w:type="gramEnd"/>
      <w:r w:rsidRPr="001A7513">
        <w:rPr>
          <w:rFonts w:cs="Arial"/>
          <w:lang w:val="en-US"/>
        </w:rPr>
        <w:t xml:space="preserve"> V. 1, p. 374-378, 2011.</w:t>
      </w:r>
    </w:p>
    <w:p w:rsidR="005913D6" w:rsidRPr="001A7513" w:rsidRDefault="005913D6" w:rsidP="005913D6">
      <w:pPr>
        <w:ind w:left="284" w:hanging="284"/>
        <w:rPr>
          <w:rFonts w:cs="Arial"/>
          <w:lang w:val="en-US"/>
        </w:rPr>
      </w:pPr>
      <w:proofErr w:type="gramStart"/>
      <w:r w:rsidRPr="001A7513">
        <w:rPr>
          <w:rFonts w:cs="Arial"/>
          <w:kern w:val="2"/>
          <w:lang w:val="en-US"/>
        </w:rPr>
        <w:t>NOLSOE, H.; UNDELAND, I.</w:t>
      </w:r>
      <w:proofErr w:type="gramEnd"/>
      <w:r w:rsidRPr="001A7513">
        <w:rPr>
          <w:rFonts w:cs="Arial"/>
          <w:kern w:val="2"/>
          <w:lang w:val="en-US"/>
        </w:rPr>
        <w:t xml:space="preserve"> The acid and alkaline solubili</w:t>
      </w:r>
      <w:r w:rsidR="001A7513">
        <w:rPr>
          <w:rFonts w:cs="Arial"/>
          <w:kern w:val="2"/>
          <w:lang w:val="en-US"/>
        </w:rPr>
        <w:t>z</w:t>
      </w:r>
      <w:r w:rsidRPr="001A7513">
        <w:rPr>
          <w:rFonts w:cs="Arial"/>
          <w:kern w:val="2"/>
          <w:lang w:val="en-US"/>
        </w:rPr>
        <w:t xml:space="preserve">ation process for the isolation of muscle proteins: State of the art. </w:t>
      </w:r>
      <w:r w:rsidRPr="001A7513">
        <w:rPr>
          <w:rFonts w:cs="Arial"/>
          <w:b/>
          <w:bCs/>
          <w:kern w:val="2"/>
          <w:lang w:val="en-US"/>
        </w:rPr>
        <w:t>Food and Bioprocess Technology</w:t>
      </w:r>
      <w:r w:rsidRPr="001A7513">
        <w:rPr>
          <w:rFonts w:cs="Arial"/>
          <w:kern w:val="2"/>
          <w:lang w:val="en-US"/>
        </w:rPr>
        <w:t xml:space="preserve">, v. </w:t>
      </w:r>
      <w:r w:rsidR="00982C19" w:rsidRPr="001A7513">
        <w:rPr>
          <w:rFonts w:cs="Arial"/>
          <w:kern w:val="2"/>
          <w:lang w:val="en-US"/>
        </w:rPr>
        <w:t>2</w:t>
      </w:r>
      <w:r w:rsidRPr="001A7513">
        <w:rPr>
          <w:rFonts w:cs="Arial"/>
          <w:kern w:val="2"/>
          <w:lang w:val="en-US"/>
        </w:rPr>
        <w:t xml:space="preserve">: </w:t>
      </w:r>
      <w:r w:rsidR="00982C19" w:rsidRPr="001A7513">
        <w:rPr>
          <w:rFonts w:cs="Arial"/>
          <w:kern w:val="2"/>
          <w:lang w:val="en-US"/>
        </w:rPr>
        <w:t>1-27.</w:t>
      </w:r>
      <w:r w:rsidRPr="001A7513">
        <w:rPr>
          <w:rFonts w:cs="Arial"/>
          <w:kern w:val="2"/>
          <w:lang w:val="en-US"/>
        </w:rPr>
        <w:t xml:space="preserve"> 2009. </w:t>
      </w:r>
    </w:p>
    <w:p w:rsidR="00941271" w:rsidRPr="001A7513" w:rsidRDefault="00C80B01" w:rsidP="00941271">
      <w:pPr>
        <w:ind w:left="284" w:hanging="284"/>
        <w:rPr>
          <w:rFonts w:cs="Arial"/>
        </w:rPr>
      </w:pPr>
      <w:r w:rsidRPr="001A7513">
        <w:rPr>
          <w:rFonts w:cs="Arial"/>
          <w:lang w:val="en-US"/>
        </w:rPr>
        <w:t xml:space="preserve">NUNES, V.N.; POZZA, P.C.; NUNES, C.G.V.; CAMPESTRINI, E.; KÜLH, R.; ROCHA, L.D.; COSTA, F.G.P.  </w:t>
      </w:r>
      <w:r w:rsidRPr="001A7513">
        <w:rPr>
          <w:rFonts w:cs="Arial"/>
          <w:b/>
        </w:rPr>
        <w:t>Valores energéticos de subprodutos de origem animal para aves</w:t>
      </w:r>
      <w:r w:rsidRPr="001A7513">
        <w:rPr>
          <w:rFonts w:cs="Arial"/>
        </w:rPr>
        <w:t>. Revista Brasileira de Zootecnia, Volum</w:t>
      </w:r>
      <w:r w:rsidR="00941271" w:rsidRPr="001A7513">
        <w:rPr>
          <w:rFonts w:cs="Arial"/>
        </w:rPr>
        <w:t>e 34, nº 4, p. 1217-1224, 2005.</w:t>
      </w:r>
    </w:p>
    <w:p w:rsidR="00363B21" w:rsidRPr="00F428C7" w:rsidRDefault="00363B21" w:rsidP="00941271">
      <w:pPr>
        <w:ind w:left="284" w:hanging="284"/>
        <w:rPr>
          <w:rFonts w:cs="Arial"/>
        </w:rPr>
      </w:pPr>
      <w:r w:rsidRPr="00F428C7">
        <w:rPr>
          <w:rFonts w:cs="Arial"/>
        </w:rPr>
        <w:t xml:space="preserve">UBABEF – União Brasileira de Avicultura – </w:t>
      </w:r>
      <w:r w:rsidRPr="000E6863">
        <w:rPr>
          <w:rFonts w:cs="Arial"/>
          <w:b/>
        </w:rPr>
        <w:t xml:space="preserve">Relatório anual 2013 </w:t>
      </w:r>
      <w:r w:rsidRPr="00F428C7">
        <w:rPr>
          <w:rFonts w:cs="Arial"/>
        </w:rPr>
        <w:t>– disp</w:t>
      </w:r>
      <w:r>
        <w:rPr>
          <w:rFonts w:cs="Arial"/>
        </w:rPr>
        <w:t>onível h</w:t>
      </w:r>
      <w:r w:rsidRPr="00F428C7">
        <w:rPr>
          <w:rFonts w:cs="Arial"/>
        </w:rPr>
        <w:t>ttp://www.ubabef.com.br/files/publicacoes/732e67e684103de4a2117dda9ddd280a.pdf</w:t>
      </w:r>
      <w:r w:rsidRPr="00DE1ED7">
        <w:rPr>
          <w:rFonts w:ascii="Times New Roman" w:hAnsi="Times New Roman"/>
        </w:rPr>
        <w:t xml:space="preserve"> -</w:t>
      </w:r>
      <w:proofErr w:type="gramStart"/>
      <w:r w:rsidRPr="00DE1ED7">
        <w:rPr>
          <w:rFonts w:ascii="Times New Roman" w:hAnsi="Times New Roman"/>
        </w:rPr>
        <w:t xml:space="preserve"> </w:t>
      </w:r>
      <w:r w:rsidRPr="00F428C7">
        <w:rPr>
          <w:rFonts w:cs="Arial"/>
        </w:rPr>
        <w:t xml:space="preserve"> </w:t>
      </w:r>
      <w:proofErr w:type="gramEnd"/>
      <w:r w:rsidRPr="00F428C7">
        <w:rPr>
          <w:rFonts w:cs="Arial"/>
        </w:rPr>
        <w:t>acessado em 07/10/2013</w:t>
      </w:r>
    </w:p>
    <w:sectPr w:rsidR="00363B21" w:rsidRPr="00F428C7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F8" w:rsidRDefault="006778F8" w:rsidP="00B11590">
      <w:r>
        <w:separator/>
      </w:r>
    </w:p>
  </w:endnote>
  <w:endnote w:type="continuationSeparator" w:id="0">
    <w:p w:rsidR="006778F8" w:rsidRDefault="006778F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F8" w:rsidRDefault="006778F8" w:rsidP="00B11590">
      <w:r>
        <w:separator/>
      </w:r>
    </w:p>
  </w:footnote>
  <w:footnote w:type="continuationSeparator" w:id="0">
    <w:p w:rsidR="006778F8" w:rsidRDefault="006778F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4178E"/>
    <w:rsid w:val="000B03FF"/>
    <w:rsid w:val="000F158A"/>
    <w:rsid w:val="000F630E"/>
    <w:rsid w:val="0010569A"/>
    <w:rsid w:val="0012354B"/>
    <w:rsid w:val="00125006"/>
    <w:rsid w:val="001513C0"/>
    <w:rsid w:val="00153900"/>
    <w:rsid w:val="0015719D"/>
    <w:rsid w:val="00184B23"/>
    <w:rsid w:val="00185FE1"/>
    <w:rsid w:val="001A10FF"/>
    <w:rsid w:val="001A7513"/>
    <w:rsid w:val="001C28FE"/>
    <w:rsid w:val="001C7B8C"/>
    <w:rsid w:val="001C7EAD"/>
    <w:rsid w:val="001E496B"/>
    <w:rsid w:val="001F4202"/>
    <w:rsid w:val="001F7FBA"/>
    <w:rsid w:val="00203D0A"/>
    <w:rsid w:val="0022674E"/>
    <w:rsid w:val="0024774D"/>
    <w:rsid w:val="00252C86"/>
    <w:rsid w:val="002661EE"/>
    <w:rsid w:val="00287E35"/>
    <w:rsid w:val="0029083B"/>
    <w:rsid w:val="002A7A57"/>
    <w:rsid w:val="002B4CDF"/>
    <w:rsid w:val="002C4B57"/>
    <w:rsid w:val="002E2CC3"/>
    <w:rsid w:val="0031036F"/>
    <w:rsid w:val="003220E0"/>
    <w:rsid w:val="00363B21"/>
    <w:rsid w:val="003C0392"/>
    <w:rsid w:val="003E0E7C"/>
    <w:rsid w:val="003F569A"/>
    <w:rsid w:val="00442A18"/>
    <w:rsid w:val="00450C0F"/>
    <w:rsid w:val="00493589"/>
    <w:rsid w:val="004B28D7"/>
    <w:rsid w:val="004D1E8A"/>
    <w:rsid w:val="004D4B98"/>
    <w:rsid w:val="004E70D1"/>
    <w:rsid w:val="004F7A69"/>
    <w:rsid w:val="00520FB9"/>
    <w:rsid w:val="0056325E"/>
    <w:rsid w:val="00577ACD"/>
    <w:rsid w:val="005913D6"/>
    <w:rsid w:val="005F767F"/>
    <w:rsid w:val="006034B4"/>
    <w:rsid w:val="00614F55"/>
    <w:rsid w:val="00630F01"/>
    <w:rsid w:val="00656042"/>
    <w:rsid w:val="006560C7"/>
    <w:rsid w:val="006641E8"/>
    <w:rsid w:val="00667729"/>
    <w:rsid w:val="006778F8"/>
    <w:rsid w:val="00687160"/>
    <w:rsid w:val="006A4184"/>
    <w:rsid w:val="006C2959"/>
    <w:rsid w:val="006D44C9"/>
    <w:rsid w:val="006F1A5E"/>
    <w:rsid w:val="0070021A"/>
    <w:rsid w:val="007053E4"/>
    <w:rsid w:val="00711091"/>
    <w:rsid w:val="00711AA3"/>
    <w:rsid w:val="007146BD"/>
    <w:rsid w:val="00724A7E"/>
    <w:rsid w:val="00731B6A"/>
    <w:rsid w:val="0076671E"/>
    <w:rsid w:val="00791D89"/>
    <w:rsid w:val="007C2D07"/>
    <w:rsid w:val="0080687F"/>
    <w:rsid w:val="00810895"/>
    <w:rsid w:val="0082219D"/>
    <w:rsid w:val="00870AB1"/>
    <w:rsid w:val="00880FA5"/>
    <w:rsid w:val="00893888"/>
    <w:rsid w:val="008A5F47"/>
    <w:rsid w:val="008D5CB8"/>
    <w:rsid w:val="00900E03"/>
    <w:rsid w:val="009217ED"/>
    <w:rsid w:val="00926A42"/>
    <w:rsid w:val="00941271"/>
    <w:rsid w:val="00941544"/>
    <w:rsid w:val="0094177C"/>
    <w:rsid w:val="009476A8"/>
    <w:rsid w:val="009571B9"/>
    <w:rsid w:val="00982C19"/>
    <w:rsid w:val="00987A12"/>
    <w:rsid w:val="009B0959"/>
    <w:rsid w:val="009D0723"/>
    <w:rsid w:val="009D7E77"/>
    <w:rsid w:val="009E624A"/>
    <w:rsid w:val="009F1118"/>
    <w:rsid w:val="00A56E01"/>
    <w:rsid w:val="00A64F73"/>
    <w:rsid w:val="00A733D3"/>
    <w:rsid w:val="00A756D1"/>
    <w:rsid w:val="00A771C1"/>
    <w:rsid w:val="00A802B0"/>
    <w:rsid w:val="00AC5736"/>
    <w:rsid w:val="00AD106A"/>
    <w:rsid w:val="00AD62B5"/>
    <w:rsid w:val="00B11590"/>
    <w:rsid w:val="00B312FA"/>
    <w:rsid w:val="00B46BE9"/>
    <w:rsid w:val="00B52F4A"/>
    <w:rsid w:val="00B65B74"/>
    <w:rsid w:val="00B76C72"/>
    <w:rsid w:val="00B91821"/>
    <w:rsid w:val="00BC3618"/>
    <w:rsid w:val="00BC5FA8"/>
    <w:rsid w:val="00BE7921"/>
    <w:rsid w:val="00C0355B"/>
    <w:rsid w:val="00C07243"/>
    <w:rsid w:val="00C16DD6"/>
    <w:rsid w:val="00C341B4"/>
    <w:rsid w:val="00C47B84"/>
    <w:rsid w:val="00C672A7"/>
    <w:rsid w:val="00C80B01"/>
    <w:rsid w:val="00C93342"/>
    <w:rsid w:val="00C950B7"/>
    <w:rsid w:val="00CA5371"/>
    <w:rsid w:val="00CB2B3F"/>
    <w:rsid w:val="00CC0C92"/>
    <w:rsid w:val="00CC3E16"/>
    <w:rsid w:val="00CC6E84"/>
    <w:rsid w:val="00CD7AE2"/>
    <w:rsid w:val="00CF1B19"/>
    <w:rsid w:val="00D141AD"/>
    <w:rsid w:val="00D25A87"/>
    <w:rsid w:val="00D3026A"/>
    <w:rsid w:val="00D43862"/>
    <w:rsid w:val="00D55559"/>
    <w:rsid w:val="00D740C6"/>
    <w:rsid w:val="00D753F3"/>
    <w:rsid w:val="00D96C89"/>
    <w:rsid w:val="00DD1B99"/>
    <w:rsid w:val="00DE6963"/>
    <w:rsid w:val="00DF17CC"/>
    <w:rsid w:val="00E10B97"/>
    <w:rsid w:val="00E31AE4"/>
    <w:rsid w:val="00E32760"/>
    <w:rsid w:val="00E359EB"/>
    <w:rsid w:val="00E4559E"/>
    <w:rsid w:val="00E62C5A"/>
    <w:rsid w:val="00EA51E0"/>
    <w:rsid w:val="00EA7469"/>
    <w:rsid w:val="00EB13F7"/>
    <w:rsid w:val="00EB56B4"/>
    <w:rsid w:val="00F32619"/>
    <w:rsid w:val="00F34C67"/>
    <w:rsid w:val="00F51E6F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22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Fontepargpadro"/>
    <w:rsid w:val="00E3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table" w:styleId="Tabelacomgrade">
    <w:name w:val="Table Grid"/>
    <w:basedOn w:val="Tabelanormal"/>
    <w:uiPriority w:val="59"/>
    <w:rsid w:val="0022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Fontepargpadro"/>
    <w:rsid w:val="00E3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AD0D-0B25-4E44-8F5A-91EBA465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Gabiatti</cp:lastModifiedBy>
  <cp:revision>2</cp:revision>
  <cp:lastPrinted>2013-05-31T18:34:00Z</cp:lastPrinted>
  <dcterms:created xsi:type="dcterms:W3CDTF">2014-07-23T17:26:00Z</dcterms:created>
  <dcterms:modified xsi:type="dcterms:W3CDTF">2014-07-23T17:26:00Z</dcterms:modified>
</cp:coreProperties>
</file>