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634377" w:rsidP="0029083B">
      <w:pPr>
        <w:ind w:firstLine="0"/>
        <w:jc w:val="center"/>
        <w:rPr>
          <w:b/>
        </w:rPr>
      </w:pPr>
      <w:r>
        <w:rPr>
          <w:b/>
        </w:rPr>
        <w:t xml:space="preserve">Síntese e caracterização </w:t>
      </w:r>
      <w:r w:rsidR="00867B9B">
        <w:rPr>
          <w:b/>
        </w:rPr>
        <w:t>do ligante</w:t>
      </w:r>
      <w:r w:rsidR="0095669E">
        <w:rPr>
          <w:b/>
        </w:rPr>
        <w:t xml:space="preserve"> </w:t>
      </w:r>
      <w:r w:rsidR="002D7732" w:rsidRPr="002D7732">
        <w:rPr>
          <w:b/>
        </w:rPr>
        <w:t>3-(</w:t>
      </w:r>
      <w:proofErr w:type="spellStart"/>
      <w:r w:rsidR="002D7732" w:rsidRPr="002D7732">
        <w:rPr>
          <w:b/>
        </w:rPr>
        <w:t>hidroximino</w:t>
      </w:r>
      <w:proofErr w:type="spellEnd"/>
      <w:proofErr w:type="gramStart"/>
      <w:r w:rsidR="002D7732" w:rsidRPr="002D7732">
        <w:rPr>
          <w:b/>
        </w:rPr>
        <w:t>)</w:t>
      </w:r>
      <w:proofErr w:type="spellStart"/>
      <w:r w:rsidR="002D7732" w:rsidRPr="002D7732">
        <w:rPr>
          <w:b/>
        </w:rPr>
        <w:t>pentano</w:t>
      </w:r>
      <w:proofErr w:type="spellEnd"/>
      <w:proofErr w:type="gramEnd"/>
      <w:r w:rsidR="002D7732" w:rsidRPr="002D7732">
        <w:rPr>
          <w:b/>
        </w:rPr>
        <w:t>-2,4-</w:t>
      </w:r>
      <w:proofErr w:type="spellStart"/>
      <w:r w:rsidR="002D7732" w:rsidRPr="002D7732">
        <w:rPr>
          <w:b/>
        </w:rPr>
        <w:t>diona</w:t>
      </w:r>
      <w:proofErr w:type="spellEnd"/>
      <w:r w:rsidR="00B54C48">
        <w:rPr>
          <w:b/>
        </w:rPr>
        <w:t xml:space="preserve"> </w:t>
      </w:r>
      <w:r w:rsidR="009A4D7B">
        <w:rPr>
          <w:b/>
        </w:rPr>
        <w:t>e seu complexo com  Co</w:t>
      </w:r>
      <w:r w:rsidR="0095669E">
        <w:rPr>
          <w:b/>
        </w:rPr>
        <w:t>(II)</w:t>
      </w:r>
    </w:p>
    <w:p w:rsidR="0029083B" w:rsidRDefault="0095669E" w:rsidP="009A4D7B">
      <w:pPr>
        <w:ind w:firstLine="0"/>
        <w:rPr>
          <w:b/>
        </w:rPr>
      </w:pPr>
      <w:r>
        <w:rPr>
          <w:b/>
        </w:rPr>
        <w:t xml:space="preserve"> </w:t>
      </w:r>
    </w:p>
    <w:p w:rsidR="00C47B84" w:rsidRDefault="009A61E0" w:rsidP="0029083B">
      <w:pPr>
        <w:ind w:firstLine="0"/>
        <w:jc w:val="right"/>
        <w:rPr>
          <w:b/>
        </w:rPr>
      </w:pPr>
      <w:r>
        <w:rPr>
          <w:b/>
        </w:rPr>
        <w:t xml:space="preserve">Autores: </w:t>
      </w:r>
      <w:r w:rsidR="00634377">
        <w:rPr>
          <w:b/>
        </w:rPr>
        <w:t>GONÇALVES</w:t>
      </w:r>
      <w:r w:rsidR="00C47B84">
        <w:rPr>
          <w:b/>
        </w:rPr>
        <w:t>,</w:t>
      </w:r>
      <w:proofErr w:type="gramStart"/>
      <w:r w:rsidR="00C47B84">
        <w:rPr>
          <w:b/>
        </w:rPr>
        <w:t xml:space="preserve">  </w:t>
      </w:r>
      <w:proofErr w:type="gramEnd"/>
      <w:r w:rsidR="00634377">
        <w:rPr>
          <w:b/>
        </w:rPr>
        <w:t>Bruna Lisboa</w:t>
      </w:r>
      <w:r w:rsidR="005041E7">
        <w:rPr>
          <w:b/>
        </w:rPr>
        <w:t xml:space="preserve">; </w:t>
      </w:r>
      <w:r w:rsidR="005A2FCE">
        <w:rPr>
          <w:b/>
        </w:rPr>
        <w:t>SOARES, Melissa de Souza; OLIVEIRA, Caroline</w:t>
      </w:r>
      <w:r w:rsidR="00AF19F7">
        <w:rPr>
          <w:b/>
        </w:rPr>
        <w:t xml:space="preserve"> Cunha</w:t>
      </w:r>
      <w:r w:rsidR="005A2FCE">
        <w:rPr>
          <w:b/>
        </w:rPr>
        <w:t>; BRESOLIN, Leandro</w:t>
      </w:r>
      <w:r w:rsidR="003D0C1D">
        <w:rPr>
          <w:b/>
        </w:rPr>
        <w:t>; BITTENCOURT, Viviane Conceição Duarte de</w:t>
      </w:r>
      <w:r w:rsidR="000033F3">
        <w:rPr>
          <w:b/>
        </w:rPr>
        <w:t xml:space="preserve">   </w:t>
      </w:r>
      <w:r w:rsidR="0029083B">
        <w:rPr>
          <w:b/>
        </w:rPr>
        <w:t xml:space="preserve"> </w:t>
      </w:r>
      <w:r>
        <w:rPr>
          <w:b/>
        </w:rPr>
        <w:t xml:space="preserve"> </w:t>
      </w:r>
    </w:p>
    <w:p w:rsidR="00C47B84" w:rsidRDefault="009A61E0" w:rsidP="0029083B">
      <w:pPr>
        <w:ind w:firstLine="0"/>
        <w:jc w:val="right"/>
        <w:rPr>
          <w:b/>
        </w:rPr>
      </w:pPr>
      <w:r>
        <w:rPr>
          <w:b/>
        </w:rPr>
        <w:t xml:space="preserve"> Orientadora: </w:t>
      </w:r>
      <w:r w:rsidR="00634377">
        <w:rPr>
          <w:b/>
        </w:rPr>
        <w:t>GERVINI</w:t>
      </w:r>
      <w:r w:rsidR="00C47B84">
        <w:rPr>
          <w:b/>
        </w:rPr>
        <w:t>,</w:t>
      </w:r>
      <w:proofErr w:type="gramStart"/>
      <w:r w:rsidR="00C47B84">
        <w:rPr>
          <w:b/>
        </w:rPr>
        <w:t xml:space="preserve">  </w:t>
      </w:r>
      <w:proofErr w:type="gramEnd"/>
      <w:r w:rsidR="00634377">
        <w:rPr>
          <w:b/>
        </w:rPr>
        <w:t xml:space="preserve">Vanessa </w:t>
      </w:r>
      <w:proofErr w:type="spellStart"/>
      <w:r w:rsidR="00634377">
        <w:rPr>
          <w:b/>
        </w:rPr>
        <w:t>Carratu</w:t>
      </w:r>
      <w:proofErr w:type="spellEnd"/>
      <w:r w:rsidR="000033F3">
        <w:rPr>
          <w:b/>
        </w:rPr>
        <w:t xml:space="preserve"> </w:t>
      </w:r>
      <w:r w:rsidR="00C47B84">
        <w:rPr>
          <w:b/>
        </w:rPr>
        <w:t xml:space="preserve"> </w:t>
      </w:r>
    </w:p>
    <w:p w:rsidR="00C47B84" w:rsidRDefault="00634377" w:rsidP="00A771C1">
      <w:pPr>
        <w:ind w:firstLine="0"/>
        <w:jc w:val="right"/>
        <w:rPr>
          <w:b/>
        </w:rPr>
      </w:pPr>
      <w:r>
        <w:rPr>
          <w:b/>
        </w:rPr>
        <w:t>lisboa_bruna@hotmail.com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9A61E0">
        <w:rPr>
          <w:b/>
        </w:rPr>
        <w:t>Encontro de Pós-Graduação</w:t>
      </w:r>
    </w:p>
    <w:p w:rsidR="001A10FF" w:rsidRPr="00FB3E05" w:rsidRDefault="00711AA3" w:rsidP="009A4D7B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9A61E0">
        <w:rPr>
          <w:b/>
        </w:rPr>
        <w:t>Química Inorgânica</w:t>
      </w: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6A4C88">
        <w:t xml:space="preserve">complexo; ligante; </w:t>
      </w:r>
      <w:proofErr w:type="spellStart"/>
      <w:proofErr w:type="gramStart"/>
      <w:r w:rsidR="006A4C88">
        <w:t>oximas</w:t>
      </w:r>
      <w:proofErr w:type="spellEnd"/>
      <w:proofErr w:type="gramEnd"/>
    </w:p>
    <w:p w:rsidR="00F96F24" w:rsidRDefault="00F96F24" w:rsidP="00F96F24">
      <w:pPr>
        <w:pStyle w:val="Ttulodaseoprimria"/>
      </w:pPr>
    </w:p>
    <w:p w:rsidR="009D0723" w:rsidRDefault="0082219D" w:rsidP="00F96F24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Default="0095669E" w:rsidP="00941AF4">
      <w:pPr>
        <w:spacing w:line="360" w:lineRule="auto"/>
      </w:pPr>
      <w:r>
        <w:t>Os</w:t>
      </w:r>
      <w:r w:rsidR="00E83ACD">
        <w:t xml:space="preserve"> compostos de coordenação </w:t>
      </w:r>
      <w:r w:rsidR="001247BE">
        <w:t>possuem um papel muito importante dentro da química ino</w:t>
      </w:r>
      <w:r w:rsidR="006D13CE">
        <w:t>rgânica, visto que estes estão presentes</w:t>
      </w:r>
      <w:r w:rsidR="00B84DA7">
        <w:t xml:space="preserve"> em fenômenos vitais como a respiração e a fotossíntese, em incontáveis processos industriais importantes no cotidiano e em um número </w:t>
      </w:r>
      <w:r w:rsidR="00AF19F7">
        <w:t>bastante abrangente</w:t>
      </w:r>
      <w:r w:rsidR="00B84DA7">
        <w:t xml:space="preserve"> de experimentos de laboratório.</w:t>
      </w:r>
      <w:r w:rsidR="006D13CE">
        <w:t xml:space="preserve"> </w:t>
      </w:r>
      <w:r>
        <w:t xml:space="preserve">Sendo assim, o presente trabalho visa demonstrar a síntese </w:t>
      </w:r>
      <w:proofErr w:type="gramStart"/>
      <w:r>
        <w:t>do</w:t>
      </w:r>
      <w:r w:rsidR="00AF19F7">
        <w:t xml:space="preserve"> </w:t>
      </w:r>
      <w:r w:rsidR="002D7732" w:rsidRPr="0010782F">
        <w:t>3</w:t>
      </w:r>
      <w:proofErr w:type="gramEnd"/>
      <w:r w:rsidR="002D7732" w:rsidRPr="0010782F">
        <w:t>-(</w:t>
      </w:r>
      <w:proofErr w:type="spellStart"/>
      <w:r w:rsidR="002D7732" w:rsidRPr="0010782F">
        <w:t>hidroximino</w:t>
      </w:r>
      <w:proofErr w:type="spellEnd"/>
      <w:r w:rsidR="002D7732" w:rsidRPr="0010782F">
        <w:t>)</w:t>
      </w:r>
      <w:proofErr w:type="spellStart"/>
      <w:r w:rsidR="002D7732" w:rsidRPr="0010782F">
        <w:t>pentano</w:t>
      </w:r>
      <w:proofErr w:type="spellEnd"/>
      <w:r w:rsidR="002D7732" w:rsidRPr="0010782F">
        <w:t>-2,4-</w:t>
      </w:r>
      <w:proofErr w:type="spellStart"/>
      <w:r w:rsidR="002D7732" w:rsidRPr="0010782F">
        <w:t>diona</w:t>
      </w:r>
      <w:proofErr w:type="spellEnd"/>
      <w:r>
        <w:rPr>
          <w:color w:val="FF0000"/>
        </w:rPr>
        <w:t xml:space="preserve"> </w:t>
      </w:r>
      <w:r w:rsidR="004F703B">
        <w:rPr>
          <w:color w:val="000000" w:themeColor="text1"/>
        </w:rPr>
        <w:t>e seu complexo com cobalto</w:t>
      </w:r>
      <w:r>
        <w:rPr>
          <w:color w:val="000000" w:themeColor="text1"/>
        </w:rPr>
        <w:t>(II), bem</w:t>
      </w:r>
      <w:r w:rsidR="00E83ACD">
        <w:rPr>
          <w:color w:val="000000" w:themeColor="text1"/>
        </w:rPr>
        <w:t xml:space="preserve"> como os resultado de análise por espectroscopia de infra</w:t>
      </w:r>
      <w:r>
        <w:rPr>
          <w:color w:val="000000" w:themeColor="text1"/>
        </w:rPr>
        <w:t>vermelho</w:t>
      </w:r>
      <w:r w:rsidR="00E83ACD">
        <w:rPr>
          <w:color w:val="000000" w:themeColor="text1"/>
        </w:rPr>
        <w:t xml:space="preserve"> e ultravioleta-visível.</w:t>
      </w:r>
    </w:p>
    <w:p w:rsidR="00F96F24" w:rsidRDefault="00F96F24" w:rsidP="00F96F24">
      <w:pPr>
        <w:ind w:firstLine="0"/>
      </w:pPr>
    </w:p>
    <w:p w:rsidR="009D0723" w:rsidRPr="00BE7921" w:rsidRDefault="001A10FF" w:rsidP="00F96F24">
      <w:pPr>
        <w:ind w:firstLine="0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1F61E3" w:rsidRPr="001F61E3" w:rsidRDefault="00D91F7B" w:rsidP="009A4D7B">
      <w:pPr>
        <w:spacing w:line="360" w:lineRule="auto"/>
        <w:rPr>
          <w:rFonts w:cs="Arial"/>
        </w:rPr>
      </w:pPr>
      <w:r w:rsidRPr="001F61E3">
        <w:rPr>
          <w:rFonts w:cs="Arial"/>
        </w:rPr>
        <w:t xml:space="preserve">As </w:t>
      </w:r>
      <w:proofErr w:type="spellStart"/>
      <w:r w:rsidRPr="001F61E3">
        <w:rPr>
          <w:rFonts w:cs="Arial"/>
        </w:rPr>
        <w:t>oximas</w:t>
      </w:r>
      <w:proofErr w:type="spellEnd"/>
      <w:r w:rsidRPr="001F61E3">
        <w:rPr>
          <w:rFonts w:cs="Arial"/>
        </w:rPr>
        <w:t xml:space="preserve"> são </w:t>
      </w:r>
      <w:proofErr w:type="gramStart"/>
      <w:r w:rsidRPr="001F61E3">
        <w:rPr>
          <w:rFonts w:cs="Arial"/>
        </w:rPr>
        <w:t>compostos</w:t>
      </w:r>
      <w:proofErr w:type="gramEnd"/>
      <w:r w:rsidRPr="001F61E3">
        <w:rPr>
          <w:rFonts w:cs="Arial"/>
        </w:rPr>
        <w:t xml:space="preserve"> derivados da reação entre aldeídos ou cetonas e hidroxilamina, em meio a catálise ácida, seguida</w:t>
      </w:r>
      <w:r w:rsidR="00A64F86">
        <w:rPr>
          <w:rFonts w:cs="Arial"/>
        </w:rPr>
        <w:t xml:space="preserve"> de eliminação de água. Esta classe de compostos </w:t>
      </w:r>
      <w:r w:rsidR="00AF19F7">
        <w:rPr>
          <w:rFonts w:cs="Arial"/>
        </w:rPr>
        <w:t>desperta</w:t>
      </w:r>
      <w:r w:rsidRPr="001F61E3">
        <w:rPr>
          <w:rFonts w:cs="Arial"/>
        </w:rPr>
        <w:t xml:space="preserve"> grande interesse devido as suas propriedades quími</w:t>
      </w:r>
      <w:r w:rsidR="00AF19F7">
        <w:rPr>
          <w:rFonts w:cs="Arial"/>
        </w:rPr>
        <w:t>cas e diversidade de aplicações</w:t>
      </w:r>
      <w:r w:rsidR="00941AF4">
        <w:rPr>
          <w:rFonts w:cs="Arial"/>
        </w:rPr>
        <w:t xml:space="preserve"> </w:t>
      </w:r>
      <w:r w:rsidR="00A64F86">
        <w:rPr>
          <w:rFonts w:cs="Arial"/>
        </w:rPr>
        <w:t>[1]</w:t>
      </w:r>
      <w:r w:rsidR="00941AF4">
        <w:rPr>
          <w:rFonts w:cs="Arial"/>
        </w:rPr>
        <w:t xml:space="preserve">. </w:t>
      </w:r>
      <w:r w:rsidR="001F61E3" w:rsidRPr="001F61E3">
        <w:rPr>
          <w:rFonts w:cs="Arial"/>
        </w:rPr>
        <w:t xml:space="preserve">O grupo </w:t>
      </w:r>
      <w:proofErr w:type="spellStart"/>
      <w:r w:rsidR="001F61E3" w:rsidRPr="001F61E3">
        <w:rPr>
          <w:rFonts w:cs="Arial"/>
        </w:rPr>
        <w:t>hidroximino</w:t>
      </w:r>
      <w:proofErr w:type="spellEnd"/>
      <w:r w:rsidR="001F61E3" w:rsidRPr="001F61E3">
        <w:rPr>
          <w:rFonts w:cs="Arial"/>
        </w:rPr>
        <w:t xml:space="preserve">, é um bom grupo doador e pode formar complexos estáveis com diferentes íons metálicos de transição. Por conta disso, as </w:t>
      </w:r>
      <w:proofErr w:type="spellStart"/>
      <w:r w:rsidR="001F61E3" w:rsidRPr="001F61E3">
        <w:rPr>
          <w:rFonts w:cs="Arial"/>
        </w:rPr>
        <w:t>oximas</w:t>
      </w:r>
      <w:proofErr w:type="spellEnd"/>
      <w:r w:rsidR="001F61E3" w:rsidRPr="001F61E3">
        <w:rPr>
          <w:rFonts w:cs="Arial"/>
        </w:rPr>
        <w:t xml:space="preserve"> e seus complexos metálicos são bastante conhecidos </w:t>
      </w:r>
      <w:r w:rsidR="00AF19F7">
        <w:rPr>
          <w:rFonts w:cs="Arial"/>
        </w:rPr>
        <w:t>e representam uma grande variedade de compostos estudados n</w:t>
      </w:r>
      <w:r w:rsidR="001F61E3" w:rsidRPr="001F61E3">
        <w:rPr>
          <w:rFonts w:cs="Arial"/>
        </w:rPr>
        <w:t xml:space="preserve">a química inorgânica </w:t>
      </w:r>
      <w:r w:rsidR="005041E7" w:rsidRPr="005041E7">
        <w:rPr>
          <w:rFonts w:cs="Arial"/>
          <w:color w:val="000000" w:themeColor="text1"/>
        </w:rPr>
        <w:t>[2</w:t>
      </w:r>
      <w:r w:rsidR="001F61E3" w:rsidRPr="005041E7">
        <w:rPr>
          <w:rFonts w:cs="Arial"/>
          <w:color w:val="000000" w:themeColor="text1"/>
        </w:rPr>
        <w:t>]</w:t>
      </w:r>
      <w:r w:rsidR="009A4D7B">
        <w:rPr>
          <w:rFonts w:cs="Arial"/>
        </w:rPr>
        <w:t xml:space="preserve">. </w:t>
      </w:r>
      <w:r w:rsidR="001F61E3" w:rsidRPr="001F61E3">
        <w:rPr>
          <w:rFonts w:cs="Arial"/>
        </w:rPr>
        <w:t xml:space="preserve">Outro grande interesse ligado às </w:t>
      </w:r>
      <w:proofErr w:type="spellStart"/>
      <w:r w:rsidR="001F61E3" w:rsidRPr="001F61E3">
        <w:rPr>
          <w:rFonts w:cs="Arial"/>
        </w:rPr>
        <w:t>oximas</w:t>
      </w:r>
      <w:proofErr w:type="spellEnd"/>
      <w:r w:rsidR="001F61E3" w:rsidRPr="001F61E3">
        <w:rPr>
          <w:rFonts w:cs="Arial"/>
        </w:rPr>
        <w:t xml:space="preserve"> está relacionado às diversas </w:t>
      </w:r>
      <w:r w:rsidR="00AF19F7">
        <w:rPr>
          <w:rFonts w:cs="Arial"/>
        </w:rPr>
        <w:t>aplicações</w:t>
      </w:r>
      <w:r w:rsidR="001F61E3" w:rsidRPr="001F61E3">
        <w:rPr>
          <w:rFonts w:cs="Arial"/>
        </w:rPr>
        <w:t xml:space="preserve"> biológicas apresentadas por essa classe. Existem estudos de ligantes </w:t>
      </w:r>
      <w:proofErr w:type="spellStart"/>
      <w:r w:rsidR="001F61E3" w:rsidRPr="001F61E3">
        <w:rPr>
          <w:rFonts w:cs="Arial"/>
        </w:rPr>
        <w:t>oximas</w:t>
      </w:r>
      <w:proofErr w:type="spellEnd"/>
      <w:r w:rsidR="001F61E3" w:rsidRPr="001F61E3">
        <w:rPr>
          <w:rFonts w:cs="Arial"/>
        </w:rPr>
        <w:t xml:space="preserve"> com potencial anti-inflamatório, agente cardiova</w:t>
      </w:r>
      <w:r w:rsidR="005041E7">
        <w:rPr>
          <w:rFonts w:cs="Arial"/>
        </w:rPr>
        <w:t>scular, antibactericida, etc. [2,3</w:t>
      </w:r>
      <w:proofErr w:type="gramStart"/>
      <w:r w:rsidR="001F61E3" w:rsidRPr="001F61E3">
        <w:rPr>
          <w:rFonts w:cs="Arial"/>
        </w:rPr>
        <w:t>]</w:t>
      </w:r>
      <w:proofErr w:type="gramEnd"/>
    </w:p>
    <w:p w:rsidR="001A10FF" w:rsidRPr="004D3431" w:rsidRDefault="001A10FF" w:rsidP="001A10FF">
      <w:pPr>
        <w:ind w:firstLine="0"/>
        <w:jc w:val="left"/>
      </w:pPr>
    </w:p>
    <w:p w:rsidR="009D0723" w:rsidRDefault="001A10FF" w:rsidP="0029083B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</w:t>
      </w:r>
      <w:r w:rsidR="0029083B">
        <w:t>PROCEDIMENTO METODOLÓGICO</w:t>
      </w:r>
    </w:p>
    <w:p w:rsidR="005B0CEB" w:rsidRDefault="00661A2E" w:rsidP="005B0CEB">
      <w:pPr>
        <w:spacing w:line="360" w:lineRule="auto"/>
        <w:rPr>
          <w:color w:val="000000" w:themeColor="text1"/>
        </w:rPr>
      </w:pPr>
      <w:r>
        <w:t>Para a síntese do ligante</w:t>
      </w:r>
      <w:r w:rsidR="002D7732" w:rsidRPr="0010782F">
        <w:t>3-(</w:t>
      </w:r>
      <w:proofErr w:type="spellStart"/>
      <w:r w:rsidR="002D7732" w:rsidRPr="0010782F">
        <w:t>hidroximino</w:t>
      </w:r>
      <w:proofErr w:type="spellEnd"/>
      <w:proofErr w:type="gramStart"/>
      <w:r w:rsidR="002D7732" w:rsidRPr="0010782F">
        <w:t>)</w:t>
      </w:r>
      <w:proofErr w:type="spellStart"/>
      <w:r w:rsidR="002D7732" w:rsidRPr="0010782F">
        <w:t>pentano</w:t>
      </w:r>
      <w:proofErr w:type="spellEnd"/>
      <w:proofErr w:type="gramEnd"/>
      <w:r w:rsidR="002D7732" w:rsidRPr="0010782F">
        <w:t>-2,4-</w:t>
      </w:r>
      <w:proofErr w:type="spellStart"/>
      <w:r w:rsidR="002D7732" w:rsidRPr="0010782F">
        <w:t>diona</w:t>
      </w:r>
      <w:proofErr w:type="spellEnd"/>
      <w:r>
        <w:rPr>
          <w:color w:val="FF0000"/>
        </w:rPr>
        <w:t xml:space="preserve">, </w:t>
      </w:r>
      <w:r w:rsidR="00E55F14">
        <w:rPr>
          <w:color w:val="000000" w:themeColor="text1"/>
        </w:rPr>
        <w:t>prepar</w:t>
      </w:r>
      <w:r w:rsidR="002F5A4E">
        <w:rPr>
          <w:color w:val="000000" w:themeColor="text1"/>
        </w:rPr>
        <w:t>ou-se uma solução d</w:t>
      </w:r>
      <w:r w:rsidR="00E55F14">
        <w:rPr>
          <w:color w:val="000000" w:themeColor="text1"/>
        </w:rPr>
        <w:t xml:space="preserve">e </w:t>
      </w:r>
      <w:proofErr w:type="spellStart"/>
      <w:r w:rsidR="00E55F14">
        <w:rPr>
          <w:color w:val="000000" w:themeColor="text1"/>
        </w:rPr>
        <w:t>acetilacetona</w:t>
      </w:r>
      <w:proofErr w:type="spellEnd"/>
      <w:r w:rsidR="00E55F14">
        <w:rPr>
          <w:color w:val="000000" w:themeColor="text1"/>
        </w:rPr>
        <w:t xml:space="preserve"> e ácido acético,</w:t>
      </w:r>
      <w:r w:rsidR="002F5A4E">
        <w:rPr>
          <w:color w:val="000000" w:themeColor="text1"/>
        </w:rPr>
        <w:t xml:space="preserve"> </w:t>
      </w:r>
      <w:r w:rsidR="006A4C88">
        <w:rPr>
          <w:color w:val="000000" w:themeColor="text1"/>
        </w:rPr>
        <w:t>e</w:t>
      </w:r>
      <w:r w:rsidR="00E55F14">
        <w:rPr>
          <w:color w:val="000000" w:themeColor="text1"/>
        </w:rPr>
        <w:t xml:space="preserve"> a esta solução </w:t>
      </w:r>
      <w:r w:rsidR="002F5A4E">
        <w:rPr>
          <w:color w:val="000000" w:themeColor="text1"/>
        </w:rPr>
        <w:t xml:space="preserve">foi </w:t>
      </w:r>
      <w:r w:rsidR="00E55F14">
        <w:rPr>
          <w:color w:val="000000" w:themeColor="text1"/>
        </w:rPr>
        <w:t>adicionada gota a gota um</w:t>
      </w:r>
      <w:r w:rsidR="002F5A4E">
        <w:rPr>
          <w:color w:val="000000" w:themeColor="text1"/>
        </w:rPr>
        <w:t xml:space="preserve">a solução contendo </w:t>
      </w:r>
      <w:r w:rsidR="00E55F14">
        <w:rPr>
          <w:color w:val="000000" w:themeColor="text1"/>
        </w:rPr>
        <w:t>nitrito de sód</w:t>
      </w:r>
      <w:r w:rsidR="004F703B">
        <w:rPr>
          <w:color w:val="000000" w:themeColor="text1"/>
        </w:rPr>
        <w:t>io dissolvido</w:t>
      </w:r>
      <w:r w:rsidR="002F5A4E">
        <w:rPr>
          <w:color w:val="000000" w:themeColor="text1"/>
        </w:rPr>
        <w:t xml:space="preserve"> em água. Deixou</w:t>
      </w:r>
      <w:r w:rsidR="006A4C88">
        <w:rPr>
          <w:color w:val="000000" w:themeColor="text1"/>
        </w:rPr>
        <w:t xml:space="preserve">-se a </w:t>
      </w:r>
      <w:r w:rsidR="00AF19F7">
        <w:rPr>
          <w:color w:val="000000" w:themeColor="text1"/>
        </w:rPr>
        <w:t xml:space="preserve">reação </w:t>
      </w:r>
      <w:proofErr w:type="gramStart"/>
      <w:r w:rsidR="00AF19F7">
        <w:rPr>
          <w:color w:val="000000" w:themeColor="text1"/>
        </w:rPr>
        <w:t>sob agitação</w:t>
      </w:r>
      <w:proofErr w:type="gramEnd"/>
      <w:r w:rsidR="00AF19F7">
        <w:rPr>
          <w:color w:val="000000" w:themeColor="text1"/>
        </w:rPr>
        <w:t xml:space="preserve"> durante 1h sob</w:t>
      </w:r>
      <w:r w:rsidR="006A4C88">
        <w:rPr>
          <w:color w:val="000000" w:themeColor="text1"/>
        </w:rPr>
        <w:t xml:space="preserve"> temperatura ambiente. Após extraç</w:t>
      </w:r>
      <w:r w:rsidR="00AF19F7">
        <w:rPr>
          <w:color w:val="000000" w:themeColor="text1"/>
        </w:rPr>
        <w:t xml:space="preserve">ões com éter etílico e </w:t>
      </w:r>
      <w:r w:rsidR="00AF19F7">
        <w:rPr>
          <w:color w:val="000000" w:themeColor="text1"/>
        </w:rPr>
        <w:lastRenderedPageBreak/>
        <w:t>secagem sob pressão reduzida</w:t>
      </w:r>
      <w:r w:rsidR="006A4C88">
        <w:rPr>
          <w:color w:val="000000" w:themeColor="text1"/>
        </w:rPr>
        <w:t>, obte</w:t>
      </w:r>
      <w:r w:rsidR="002F5A4E">
        <w:rPr>
          <w:color w:val="000000" w:themeColor="text1"/>
        </w:rPr>
        <w:t>ve</w:t>
      </w:r>
      <w:r w:rsidR="006A4C88">
        <w:rPr>
          <w:color w:val="000000" w:themeColor="text1"/>
        </w:rPr>
        <w:t>-se um sólido de coloração amar</w:t>
      </w:r>
      <w:r w:rsidR="002F5A4E">
        <w:rPr>
          <w:color w:val="000000" w:themeColor="text1"/>
        </w:rPr>
        <w:t>elo claro, com ponto de fusão em</w:t>
      </w:r>
      <w:r w:rsidR="006A4C88">
        <w:rPr>
          <w:color w:val="000000" w:themeColor="text1"/>
        </w:rPr>
        <w:t xml:space="preserve"> 75°C.</w:t>
      </w:r>
    </w:p>
    <w:p w:rsidR="005405F9" w:rsidRPr="005B0CEB" w:rsidRDefault="005B0CEB" w:rsidP="005B0CEB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2A085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síntese do complexo se deu mediante reação do ligante, previamente </w:t>
      </w:r>
      <w:proofErr w:type="spellStart"/>
      <w:r>
        <w:rPr>
          <w:color w:val="000000" w:themeColor="text1"/>
        </w:rPr>
        <w:t>desprotonado</w:t>
      </w:r>
      <w:proofErr w:type="spellEnd"/>
      <w:r>
        <w:rPr>
          <w:color w:val="000000" w:themeColor="text1"/>
        </w:rPr>
        <w:t xml:space="preserve"> com KOH</w:t>
      </w:r>
      <w:r w:rsidR="002D7732">
        <w:rPr>
          <w:color w:val="000000" w:themeColor="text1"/>
        </w:rPr>
        <w:t>,</w:t>
      </w:r>
      <w:r>
        <w:rPr>
          <w:color w:val="000000" w:themeColor="text1"/>
        </w:rPr>
        <w:t xml:space="preserve"> e</w:t>
      </w:r>
      <w:r w:rsidR="002A0855">
        <w:rPr>
          <w:color w:val="000000" w:themeColor="text1"/>
        </w:rPr>
        <w:t xml:space="preserve"> acetato de </w:t>
      </w:r>
      <w:proofErr w:type="gramStart"/>
      <w:r w:rsidR="002A0855">
        <w:rPr>
          <w:color w:val="000000" w:themeColor="text1"/>
        </w:rPr>
        <w:t>cobalto</w:t>
      </w:r>
      <w:r w:rsidR="002F5A4E">
        <w:rPr>
          <w:color w:val="000000" w:themeColor="text1"/>
        </w:rPr>
        <w:t>(</w:t>
      </w:r>
      <w:proofErr w:type="gramEnd"/>
      <w:r w:rsidR="002F5A4E">
        <w:rPr>
          <w:color w:val="000000" w:themeColor="text1"/>
        </w:rPr>
        <w:t>II)</w:t>
      </w:r>
      <w:r>
        <w:rPr>
          <w:color w:val="000000" w:themeColor="text1"/>
        </w:rPr>
        <w:t xml:space="preserve"> </w:t>
      </w:r>
      <w:r w:rsidR="00941AF4">
        <w:rPr>
          <w:color w:val="000000" w:themeColor="text1"/>
        </w:rPr>
        <w:t>(2:1)</w:t>
      </w:r>
      <w:r>
        <w:rPr>
          <w:color w:val="000000" w:themeColor="text1"/>
        </w:rPr>
        <w:t>,</w:t>
      </w:r>
      <w:r w:rsidR="002F5A4E">
        <w:rPr>
          <w:color w:val="000000" w:themeColor="text1"/>
        </w:rPr>
        <w:t xml:space="preserve"> </w:t>
      </w:r>
      <w:r>
        <w:rPr>
          <w:color w:val="000000" w:themeColor="text1"/>
        </w:rPr>
        <w:t>usando</w:t>
      </w:r>
      <w:r w:rsidR="002A0855">
        <w:rPr>
          <w:color w:val="000000" w:themeColor="text1"/>
        </w:rPr>
        <w:t xml:space="preserve"> metanol como solvente, deix</w:t>
      </w:r>
      <w:r w:rsidR="002F5A4E">
        <w:rPr>
          <w:color w:val="000000" w:themeColor="text1"/>
        </w:rPr>
        <w:t>ou</w:t>
      </w:r>
      <w:r w:rsidR="002A0855">
        <w:rPr>
          <w:color w:val="000000" w:themeColor="text1"/>
        </w:rPr>
        <w:t>-se a reação sob agitação durante 3h a temperatura ambiente. Após filtração simples, obteve-se um sólido cristalino de cor castanha</w:t>
      </w:r>
      <w:r w:rsidR="005405F9">
        <w:rPr>
          <w:color w:val="000000" w:themeColor="text1"/>
        </w:rPr>
        <w:t>.</w:t>
      </w:r>
      <w:r w:rsidR="002F5A4E">
        <w:rPr>
          <w:color w:val="000000" w:themeColor="text1"/>
        </w:rPr>
        <w:t xml:space="preserve"> </w:t>
      </w:r>
      <w:r w:rsidR="005405F9" w:rsidRPr="005405F9">
        <w:rPr>
          <w:rFonts w:cs="Arial"/>
        </w:rPr>
        <w:t xml:space="preserve">Os pontos de fusão foram determinados em um aparelho </w:t>
      </w:r>
      <w:proofErr w:type="spellStart"/>
      <w:r w:rsidR="005405F9" w:rsidRPr="005405F9">
        <w:rPr>
          <w:rFonts w:cs="Arial"/>
        </w:rPr>
        <w:t>Fisatom</w:t>
      </w:r>
      <w:proofErr w:type="spellEnd"/>
      <w:r w:rsidR="005405F9" w:rsidRPr="005405F9">
        <w:rPr>
          <w:rFonts w:cs="Arial"/>
        </w:rPr>
        <w:t xml:space="preserve"> </w:t>
      </w:r>
      <w:proofErr w:type="gramStart"/>
      <w:r w:rsidR="005405F9" w:rsidRPr="005405F9">
        <w:rPr>
          <w:rFonts w:cs="Arial"/>
        </w:rPr>
        <w:t>430D</w:t>
      </w:r>
      <w:proofErr w:type="gramEnd"/>
      <w:r w:rsidR="005405F9" w:rsidRPr="005405F9">
        <w:rPr>
          <w:rFonts w:cs="Arial"/>
        </w:rPr>
        <w:t xml:space="preserve">. Os espectros na região do IV foram obtidos em um </w:t>
      </w:r>
      <w:proofErr w:type="spellStart"/>
      <w:r w:rsidR="005405F9" w:rsidRPr="005405F9">
        <w:rPr>
          <w:rFonts w:cs="Arial"/>
        </w:rPr>
        <w:t>Shimadzu-IR</w:t>
      </w:r>
      <w:proofErr w:type="spellEnd"/>
      <w:r w:rsidR="005405F9" w:rsidRPr="005405F9">
        <w:rPr>
          <w:rFonts w:cs="Arial"/>
        </w:rPr>
        <w:t xml:space="preserve"> PRESTIGE-21, no estado sólido, por refletância difusa, com leituras </w:t>
      </w:r>
      <w:r w:rsidR="002F5A4E">
        <w:rPr>
          <w:rFonts w:cs="Arial"/>
        </w:rPr>
        <w:t>na</w:t>
      </w:r>
      <w:r w:rsidR="005405F9" w:rsidRPr="005405F9">
        <w:rPr>
          <w:rFonts w:cs="Arial"/>
        </w:rPr>
        <w:t xml:space="preserve"> região de 4000 a 400 cm</w:t>
      </w:r>
      <w:r w:rsidR="005405F9" w:rsidRPr="005405F9">
        <w:rPr>
          <w:rFonts w:cs="Arial"/>
          <w:vertAlign w:val="superscript"/>
        </w:rPr>
        <w:t>-1</w:t>
      </w:r>
      <w:r w:rsidR="005405F9" w:rsidRPr="005405F9">
        <w:rPr>
          <w:rFonts w:cs="Arial"/>
        </w:rPr>
        <w:t xml:space="preserve">. Já os espectros na região do UV-vis foram obtidos em um </w:t>
      </w:r>
      <w:r w:rsidR="00AF19F7">
        <w:rPr>
          <w:rFonts w:cs="Arial"/>
        </w:rPr>
        <w:t xml:space="preserve">espectrofotômetro UV-2550 </w:t>
      </w:r>
      <w:proofErr w:type="spellStart"/>
      <w:r w:rsidR="00AF19F7">
        <w:rPr>
          <w:rFonts w:cs="Arial"/>
        </w:rPr>
        <w:t>UV-Vis</w:t>
      </w:r>
      <w:proofErr w:type="spellEnd"/>
      <w:r w:rsidR="00AF19F7">
        <w:rPr>
          <w:rFonts w:cs="Arial"/>
        </w:rPr>
        <w:t xml:space="preserve">, </w:t>
      </w:r>
      <w:r w:rsidR="005405F9" w:rsidRPr="005405F9">
        <w:rPr>
          <w:rFonts w:cs="Arial"/>
        </w:rPr>
        <w:t xml:space="preserve">utilizando </w:t>
      </w:r>
      <w:proofErr w:type="spellStart"/>
      <w:r w:rsidR="005405F9" w:rsidRPr="005405F9">
        <w:rPr>
          <w:rFonts w:cs="Arial"/>
        </w:rPr>
        <w:t>cubeta</w:t>
      </w:r>
      <w:proofErr w:type="spellEnd"/>
      <w:r w:rsidR="005405F9" w:rsidRPr="005405F9">
        <w:rPr>
          <w:rFonts w:cs="Arial"/>
        </w:rPr>
        <w:t xml:space="preserve"> de quartzo com caminho óptico de </w:t>
      </w:r>
      <w:proofErr w:type="gramStart"/>
      <w:r w:rsidR="005405F9" w:rsidRPr="005405F9">
        <w:rPr>
          <w:rFonts w:cs="Arial"/>
        </w:rPr>
        <w:t>1</w:t>
      </w:r>
      <w:proofErr w:type="gramEnd"/>
      <w:r w:rsidR="005405F9" w:rsidRPr="005405F9">
        <w:rPr>
          <w:rFonts w:cs="Arial"/>
        </w:rPr>
        <w:t xml:space="preserve"> cm, com leitur</w:t>
      </w:r>
      <w:r w:rsidR="002D7732">
        <w:rPr>
          <w:rFonts w:cs="Arial"/>
        </w:rPr>
        <w:t xml:space="preserve">as </w:t>
      </w:r>
      <w:bookmarkStart w:id="0" w:name="_GoBack"/>
      <w:bookmarkEnd w:id="0"/>
      <w:r w:rsidR="00AF19F7">
        <w:rPr>
          <w:rFonts w:cs="Arial"/>
        </w:rPr>
        <w:t>entre</w:t>
      </w:r>
      <w:r w:rsidR="002D7732">
        <w:rPr>
          <w:rFonts w:cs="Arial"/>
        </w:rPr>
        <w:t xml:space="preserve"> 200 a 800 </w:t>
      </w:r>
      <w:proofErr w:type="spellStart"/>
      <w:r w:rsidR="002D7732">
        <w:rPr>
          <w:rFonts w:cs="Arial"/>
        </w:rPr>
        <w:t>nm</w:t>
      </w:r>
      <w:proofErr w:type="spellEnd"/>
      <w:r w:rsidR="002D7732">
        <w:rPr>
          <w:rFonts w:cs="Arial"/>
        </w:rPr>
        <w:t>.</w:t>
      </w:r>
    </w:p>
    <w:p w:rsidR="006A4C88" w:rsidRPr="00E55F14" w:rsidRDefault="006A4C88" w:rsidP="00E55F14">
      <w:pPr>
        <w:rPr>
          <w:color w:val="000000" w:themeColor="text1"/>
        </w:rPr>
      </w:pPr>
    </w:p>
    <w:p w:rsidR="009D0723" w:rsidRPr="00D8090F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E6147A" w:rsidRPr="00941AF4" w:rsidRDefault="00EF18C9" w:rsidP="00E6147A">
      <w:pPr>
        <w:pStyle w:val="Leyendadefiguraotabla"/>
        <w:spacing w:before="0" w:after="0" w:line="360" w:lineRule="auto"/>
        <w:jc w:val="both"/>
        <w:rPr>
          <w:rFonts w:cs="Arial"/>
          <w:i w:val="0"/>
          <w:sz w:val="24"/>
          <w:lang w:val="pt-BR"/>
        </w:rPr>
      </w:pPr>
      <w:r>
        <w:rPr>
          <w:rFonts w:eastAsia="Arial Unicode MS" w:cs="Arial"/>
          <w:i w:val="0"/>
          <w:kern w:val="1"/>
          <w:sz w:val="24"/>
          <w:lang w:val="pt-BR" w:eastAsia="pt-BR"/>
        </w:rPr>
        <w:t>A caracterização do ligante</w:t>
      </w:r>
      <w:r w:rsidR="005405F9">
        <w:rPr>
          <w:rFonts w:eastAsia="Arial Unicode MS" w:cs="Arial"/>
          <w:i w:val="0"/>
          <w:kern w:val="1"/>
          <w:sz w:val="24"/>
          <w:lang w:val="pt-BR" w:eastAsia="pt-BR"/>
        </w:rPr>
        <w:t xml:space="preserve"> foi feita por espectroscopia na região do infravermelho e as principais bandas obtidas foram</w:t>
      </w:r>
      <w:r w:rsidR="005405F9" w:rsidRPr="00FC60AE">
        <w:rPr>
          <w:rFonts w:eastAsia="Arial Unicode MS" w:cs="Arial"/>
          <w:i w:val="0"/>
          <w:kern w:val="1"/>
          <w:sz w:val="24"/>
          <w:lang w:val="pt-BR" w:eastAsia="pt-BR"/>
        </w:rPr>
        <w:t xml:space="preserve">: </w:t>
      </w:r>
      <w:r w:rsidR="00FC60AE" w:rsidRPr="00FC60AE">
        <w:rPr>
          <w:sz w:val="24"/>
        </w:rPr>
        <w:t xml:space="preserve"> </w:t>
      </w:r>
      <w:proofErr w:type="spellStart"/>
      <w:r w:rsidR="00FC60AE" w:rsidRPr="00FC60AE">
        <w:rPr>
          <w:rFonts w:ascii="Times New Roman" w:hAnsi="Times New Roman"/>
          <w:sz w:val="24"/>
        </w:rPr>
        <w:t>ν</w:t>
      </w:r>
      <w:r w:rsidR="00EC405C">
        <w:rPr>
          <w:rFonts w:cs="Arial"/>
          <w:sz w:val="24"/>
        </w:rPr>
        <w:t>C</w:t>
      </w:r>
      <w:proofErr w:type="spellEnd"/>
      <w:r w:rsidR="00EC405C">
        <w:rPr>
          <w:rFonts w:cs="Arial"/>
          <w:sz w:val="24"/>
        </w:rPr>
        <w:t>=O 1722</w:t>
      </w:r>
      <w:r w:rsidR="00EC405C" w:rsidRPr="00EC405C">
        <w:rPr>
          <w:rFonts w:cs="Arial"/>
          <w:sz w:val="24"/>
        </w:rPr>
        <w:t xml:space="preserve"> cm</w:t>
      </w:r>
      <w:r w:rsidR="00EC405C" w:rsidRPr="00EC405C">
        <w:rPr>
          <w:rFonts w:cs="Arial"/>
          <w:sz w:val="24"/>
          <w:vertAlign w:val="superscript"/>
        </w:rPr>
        <w:t>-1</w:t>
      </w:r>
      <w:r w:rsidR="00FC60AE">
        <w:rPr>
          <w:rFonts w:cs="Arial"/>
          <w:sz w:val="24"/>
        </w:rPr>
        <w:t>,</w:t>
      </w:r>
      <w:r w:rsidR="00FC60AE" w:rsidRPr="00FC60AE">
        <w:rPr>
          <w:rFonts w:eastAsia="Arial Unicode MS" w:cs="Arial"/>
          <w:i w:val="0"/>
          <w:kern w:val="1"/>
          <w:sz w:val="24"/>
          <w:lang w:val="pt-BR" w:eastAsia="pt-BR"/>
        </w:rPr>
        <w:t xml:space="preserve"> </w:t>
      </w:r>
      <w:r w:rsidR="00FC60AE" w:rsidRPr="00FC60AE">
        <w:rPr>
          <w:sz w:val="24"/>
        </w:rPr>
        <w:t xml:space="preserve"> </w:t>
      </w:r>
      <w:proofErr w:type="spellStart"/>
      <w:r w:rsidR="00FC60AE" w:rsidRPr="00FC60AE">
        <w:rPr>
          <w:rFonts w:ascii="Times New Roman" w:hAnsi="Times New Roman"/>
          <w:sz w:val="24"/>
        </w:rPr>
        <w:t>ν</w:t>
      </w:r>
      <w:r w:rsidR="00FC60AE">
        <w:rPr>
          <w:rFonts w:cs="Arial"/>
          <w:sz w:val="24"/>
        </w:rPr>
        <w:t>C</w:t>
      </w:r>
      <w:proofErr w:type="spellEnd"/>
      <w:r w:rsidR="00FC60AE">
        <w:rPr>
          <w:rFonts w:cs="Arial"/>
          <w:sz w:val="24"/>
        </w:rPr>
        <w:t>=N 1651</w:t>
      </w:r>
      <w:r w:rsidR="00FC60AE" w:rsidRPr="00FC60AE">
        <w:rPr>
          <w:rFonts w:cs="Arial"/>
          <w:sz w:val="24"/>
        </w:rPr>
        <w:t xml:space="preserve"> </w:t>
      </w:r>
      <w:r w:rsidR="00FC60AE" w:rsidRPr="00EC405C">
        <w:rPr>
          <w:rFonts w:cs="Arial"/>
          <w:sz w:val="24"/>
        </w:rPr>
        <w:t>cm</w:t>
      </w:r>
      <w:r w:rsidR="00FC60AE" w:rsidRPr="00EC405C">
        <w:rPr>
          <w:rFonts w:cs="Arial"/>
          <w:sz w:val="24"/>
          <w:vertAlign w:val="superscript"/>
        </w:rPr>
        <w:t>-1</w:t>
      </w:r>
      <w:r w:rsidR="00FC60AE">
        <w:rPr>
          <w:rFonts w:cs="Arial"/>
          <w:sz w:val="24"/>
        </w:rPr>
        <w:t xml:space="preserve">, </w:t>
      </w:r>
      <w:proofErr w:type="spellStart"/>
      <w:r w:rsidR="00FC60AE" w:rsidRPr="00FC60AE">
        <w:rPr>
          <w:rFonts w:ascii="Times New Roman" w:hAnsi="Times New Roman"/>
          <w:sz w:val="24"/>
        </w:rPr>
        <w:t>ν</w:t>
      </w:r>
      <w:r w:rsidR="00FC60AE" w:rsidRPr="00677EF7">
        <w:rPr>
          <w:rFonts w:cs="Arial"/>
          <w:i w:val="0"/>
          <w:sz w:val="24"/>
        </w:rPr>
        <w:t>O</w:t>
      </w:r>
      <w:proofErr w:type="spellEnd"/>
      <w:r w:rsidR="00FC60AE">
        <w:rPr>
          <w:rFonts w:cs="Arial"/>
          <w:sz w:val="24"/>
        </w:rPr>
        <w:t xml:space="preserve">-H 3415 </w:t>
      </w:r>
      <w:r w:rsidR="00FC60AE" w:rsidRPr="00EC405C">
        <w:rPr>
          <w:rFonts w:cs="Arial"/>
          <w:sz w:val="24"/>
        </w:rPr>
        <w:t>cm</w:t>
      </w:r>
      <w:r w:rsidR="00FC60AE" w:rsidRPr="00EC405C">
        <w:rPr>
          <w:rFonts w:cs="Arial"/>
          <w:sz w:val="24"/>
          <w:vertAlign w:val="superscript"/>
        </w:rPr>
        <w:t>-1</w:t>
      </w:r>
      <w:r w:rsidR="00677EF7">
        <w:rPr>
          <w:rFonts w:cs="Arial"/>
          <w:sz w:val="24"/>
        </w:rPr>
        <w:t>,</w:t>
      </w:r>
      <w:r w:rsidR="00677EF7">
        <w:rPr>
          <w:rFonts w:cs="Arial"/>
          <w:sz w:val="24"/>
          <w:vertAlign w:val="superscript"/>
        </w:rPr>
        <w:t xml:space="preserve"> </w:t>
      </w:r>
      <w:proofErr w:type="spellStart"/>
      <w:r w:rsidR="00677EF7" w:rsidRPr="00677EF7">
        <w:rPr>
          <w:rFonts w:ascii="Times New Roman" w:hAnsi="Times New Roman"/>
          <w:sz w:val="24"/>
        </w:rPr>
        <w:t>ν</w:t>
      </w:r>
      <w:r w:rsidR="00677EF7" w:rsidRPr="00677EF7">
        <w:rPr>
          <w:rFonts w:cs="Arial"/>
          <w:i w:val="0"/>
          <w:sz w:val="24"/>
        </w:rPr>
        <w:t>N</w:t>
      </w:r>
      <w:proofErr w:type="spellEnd"/>
      <w:r w:rsidR="00677EF7" w:rsidRPr="00677EF7">
        <w:rPr>
          <w:rFonts w:cs="Arial"/>
          <w:i w:val="0"/>
          <w:sz w:val="24"/>
        </w:rPr>
        <w:t>-O 921 cm</w:t>
      </w:r>
      <w:r w:rsidR="00677EF7" w:rsidRPr="00677EF7">
        <w:rPr>
          <w:rFonts w:cs="Arial"/>
          <w:i w:val="0"/>
          <w:sz w:val="24"/>
          <w:vertAlign w:val="superscript"/>
        </w:rPr>
        <w:t>-1</w:t>
      </w:r>
      <w:r w:rsidR="005041E7">
        <w:rPr>
          <w:rFonts w:cs="Arial"/>
          <w:sz w:val="24"/>
        </w:rPr>
        <w:t xml:space="preserve">. </w:t>
      </w:r>
      <w:r w:rsidR="005041E7" w:rsidRPr="005041E7">
        <w:rPr>
          <w:rFonts w:cs="Arial"/>
          <w:i w:val="0"/>
          <w:sz w:val="24"/>
        </w:rPr>
        <w:t>As bandas para</w:t>
      </w:r>
      <w:r w:rsidR="005041E7">
        <w:rPr>
          <w:rFonts w:cs="Arial"/>
          <w:sz w:val="24"/>
        </w:rPr>
        <w:t xml:space="preserve"> </w:t>
      </w:r>
      <w:r w:rsidR="005041E7">
        <w:rPr>
          <w:rFonts w:cs="Arial"/>
          <w:i w:val="0"/>
          <w:sz w:val="24"/>
        </w:rPr>
        <w:t xml:space="preserve">o complexo </w:t>
      </w:r>
      <w:proofErr w:type="spellStart"/>
      <w:r w:rsidR="005041E7">
        <w:rPr>
          <w:rFonts w:cs="Arial"/>
          <w:i w:val="0"/>
          <w:sz w:val="24"/>
        </w:rPr>
        <w:t>são</w:t>
      </w:r>
      <w:proofErr w:type="spellEnd"/>
      <w:r w:rsidR="005041E7">
        <w:rPr>
          <w:rFonts w:cs="Arial"/>
          <w:i w:val="0"/>
          <w:sz w:val="24"/>
        </w:rPr>
        <w:t>:</w:t>
      </w:r>
      <w:r w:rsidR="002D7732">
        <w:rPr>
          <w:rFonts w:cs="Arial"/>
          <w:i w:val="0"/>
          <w:sz w:val="24"/>
        </w:rPr>
        <w:t xml:space="preserve"> </w:t>
      </w:r>
      <w:proofErr w:type="spellStart"/>
      <w:r w:rsidR="002D7732" w:rsidRPr="00FC60AE">
        <w:rPr>
          <w:rFonts w:ascii="Times New Roman" w:hAnsi="Times New Roman"/>
          <w:sz w:val="24"/>
        </w:rPr>
        <w:t>ν</w:t>
      </w:r>
      <w:r w:rsidR="002D7732">
        <w:rPr>
          <w:rFonts w:cs="Arial"/>
          <w:sz w:val="24"/>
        </w:rPr>
        <w:t>C</w:t>
      </w:r>
      <w:proofErr w:type="spellEnd"/>
      <w:r w:rsidR="002D7732">
        <w:rPr>
          <w:rFonts w:cs="Arial"/>
          <w:sz w:val="24"/>
        </w:rPr>
        <w:t xml:space="preserve">=O </w:t>
      </w:r>
      <w:proofErr w:type="spellStart"/>
      <w:r w:rsidR="002D7732" w:rsidRPr="002D7732">
        <w:rPr>
          <w:rFonts w:cs="Arial"/>
          <w:i w:val="0"/>
          <w:sz w:val="24"/>
        </w:rPr>
        <w:t>sobreposição</w:t>
      </w:r>
      <w:proofErr w:type="spellEnd"/>
      <w:r w:rsidR="002D7732" w:rsidRPr="002D7732">
        <w:rPr>
          <w:rFonts w:cs="Arial"/>
          <w:i w:val="0"/>
          <w:sz w:val="24"/>
        </w:rPr>
        <w:t xml:space="preserve"> de</w:t>
      </w:r>
      <w:r w:rsidR="002D7732">
        <w:rPr>
          <w:rFonts w:cs="Arial"/>
          <w:sz w:val="24"/>
        </w:rPr>
        <w:t xml:space="preserve"> </w:t>
      </w:r>
      <w:r w:rsidR="002D7732" w:rsidRPr="002D7732">
        <w:rPr>
          <w:rFonts w:cs="Arial"/>
          <w:i w:val="0"/>
          <w:sz w:val="24"/>
        </w:rPr>
        <w:t>bandas</w:t>
      </w:r>
      <w:r w:rsidR="005041E7">
        <w:rPr>
          <w:rFonts w:cs="Arial"/>
          <w:i w:val="0"/>
          <w:sz w:val="24"/>
        </w:rPr>
        <w:t xml:space="preserve"> </w:t>
      </w:r>
      <w:proofErr w:type="spellStart"/>
      <w:r w:rsidR="005041E7" w:rsidRPr="00FC60AE">
        <w:rPr>
          <w:rFonts w:ascii="Times New Roman" w:hAnsi="Times New Roman"/>
          <w:sz w:val="24"/>
        </w:rPr>
        <w:t>ν</w:t>
      </w:r>
      <w:r w:rsidR="005041E7">
        <w:rPr>
          <w:rFonts w:cs="Arial"/>
          <w:sz w:val="24"/>
        </w:rPr>
        <w:t>C</w:t>
      </w:r>
      <w:proofErr w:type="spellEnd"/>
      <w:r w:rsidR="005041E7">
        <w:rPr>
          <w:rFonts w:cs="Arial"/>
          <w:sz w:val="24"/>
        </w:rPr>
        <w:t>=N 1674</w:t>
      </w:r>
      <w:r w:rsidR="005041E7" w:rsidRPr="00FC60AE">
        <w:rPr>
          <w:rFonts w:cs="Arial"/>
          <w:sz w:val="24"/>
        </w:rPr>
        <w:t xml:space="preserve"> </w:t>
      </w:r>
      <w:r w:rsidR="005041E7" w:rsidRPr="00EC405C">
        <w:rPr>
          <w:rFonts w:cs="Arial"/>
          <w:sz w:val="24"/>
        </w:rPr>
        <w:t>cm</w:t>
      </w:r>
      <w:r w:rsidR="005041E7" w:rsidRPr="00EC405C">
        <w:rPr>
          <w:rFonts w:cs="Arial"/>
          <w:sz w:val="24"/>
          <w:vertAlign w:val="superscript"/>
        </w:rPr>
        <w:t>-1</w:t>
      </w:r>
      <w:r w:rsidR="00677EF7">
        <w:rPr>
          <w:rFonts w:cs="Arial"/>
          <w:i w:val="0"/>
          <w:sz w:val="24"/>
        </w:rPr>
        <w:t xml:space="preserve">, </w:t>
      </w:r>
      <w:proofErr w:type="spellStart"/>
      <w:r w:rsidR="00677EF7" w:rsidRPr="00677EF7">
        <w:rPr>
          <w:rFonts w:ascii="Times New Roman" w:hAnsi="Times New Roman"/>
          <w:sz w:val="24"/>
        </w:rPr>
        <w:t>ν</w:t>
      </w:r>
      <w:r w:rsidR="00677EF7" w:rsidRPr="00677EF7">
        <w:rPr>
          <w:rFonts w:cs="Arial"/>
          <w:i w:val="0"/>
          <w:sz w:val="24"/>
        </w:rPr>
        <w:t>N</w:t>
      </w:r>
      <w:proofErr w:type="spellEnd"/>
      <w:r w:rsidR="00677EF7" w:rsidRPr="00677EF7">
        <w:rPr>
          <w:rFonts w:cs="Arial"/>
          <w:i w:val="0"/>
          <w:sz w:val="24"/>
        </w:rPr>
        <w:t>-</w:t>
      </w:r>
      <w:r w:rsidR="00677EF7">
        <w:rPr>
          <w:rFonts w:cs="Arial"/>
          <w:i w:val="0"/>
          <w:sz w:val="24"/>
        </w:rPr>
        <w:t>O 945</w:t>
      </w:r>
      <w:r w:rsidR="00677EF7" w:rsidRPr="00677EF7">
        <w:rPr>
          <w:rFonts w:cs="Arial"/>
          <w:i w:val="0"/>
          <w:sz w:val="24"/>
        </w:rPr>
        <w:t xml:space="preserve"> cm</w:t>
      </w:r>
      <w:r w:rsidR="00677EF7" w:rsidRPr="00677EF7">
        <w:rPr>
          <w:rFonts w:cs="Arial"/>
          <w:i w:val="0"/>
          <w:sz w:val="24"/>
          <w:vertAlign w:val="superscript"/>
        </w:rPr>
        <w:t>-1</w:t>
      </w:r>
      <w:r w:rsidR="002D7732">
        <w:rPr>
          <w:rFonts w:cs="Arial"/>
          <w:i w:val="0"/>
          <w:sz w:val="24"/>
        </w:rPr>
        <w:t>.</w:t>
      </w:r>
      <w:r>
        <w:rPr>
          <w:rFonts w:cs="Arial"/>
          <w:i w:val="0"/>
          <w:sz w:val="24"/>
        </w:rPr>
        <w:t xml:space="preserve"> </w:t>
      </w:r>
      <w:r w:rsidRPr="00076A79">
        <w:rPr>
          <w:rFonts w:cs="Arial"/>
          <w:i w:val="0"/>
          <w:sz w:val="24"/>
          <w:lang w:val="pt-BR"/>
        </w:rPr>
        <w:t>A aus</w:t>
      </w:r>
      <w:r w:rsidR="00F96F24" w:rsidRPr="00076A79">
        <w:rPr>
          <w:rFonts w:cs="Arial"/>
          <w:i w:val="0"/>
          <w:sz w:val="24"/>
          <w:lang w:val="pt-BR"/>
        </w:rPr>
        <w:t>ê</w:t>
      </w:r>
      <w:r w:rsidRPr="00076A79">
        <w:rPr>
          <w:rFonts w:cs="Arial"/>
          <w:i w:val="0"/>
          <w:sz w:val="24"/>
          <w:lang w:val="pt-BR"/>
        </w:rPr>
        <w:t xml:space="preserve">ncia </w:t>
      </w:r>
      <w:r w:rsidR="00F96F24" w:rsidRPr="00076A79">
        <w:rPr>
          <w:rFonts w:cs="Arial"/>
          <w:i w:val="0"/>
          <w:sz w:val="24"/>
          <w:lang w:val="pt-BR"/>
        </w:rPr>
        <w:t xml:space="preserve">do </w:t>
      </w:r>
      <w:proofErr w:type="spellStart"/>
      <w:r w:rsidR="00F96F24" w:rsidRPr="00076A79">
        <w:rPr>
          <w:rFonts w:ascii="Times New Roman" w:hAnsi="Times New Roman"/>
          <w:sz w:val="24"/>
          <w:lang w:val="pt-BR"/>
        </w:rPr>
        <w:t>ν</w:t>
      </w:r>
      <w:r w:rsidRPr="00076A79">
        <w:rPr>
          <w:rFonts w:cs="Arial"/>
          <w:i w:val="0"/>
          <w:sz w:val="24"/>
          <w:lang w:val="pt-BR"/>
        </w:rPr>
        <w:t>OH</w:t>
      </w:r>
      <w:proofErr w:type="spellEnd"/>
      <w:r w:rsidRPr="00076A79">
        <w:rPr>
          <w:rFonts w:cs="Arial"/>
          <w:i w:val="0"/>
          <w:sz w:val="24"/>
          <w:lang w:val="pt-BR"/>
        </w:rPr>
        <w:t xml:space="preserve"> indica a desprotonação do ligante antes da </w:t>
      </w:r>
      <w:proofErr w:type="spellStart"/>
      <w:r w:rsidRPr="00076A79">
        <w:rPr>
          <w:rFonts w:cs="Arial"/>
          <w:i w:val="0"/>
          <w:sz w:val="24"/>
          <w:lang w:val="pt-BR"/>
        </w:rPr>
        <w:t>complexação</w:t>
      </w:r>
      <w:proofErr w:type="spellEnd"/>
      <w:r w:rsidRPr="00076A79">
        <w:rPr>
          <w:rFonts w:cs="Arial"/>
          <w:i w:val="0"/>
          <w:sz w:val="24"/>
          <w:lang w:val="pt-BR"/>
        </w:rPr>
        <w:t>.</w:t>
      </w:r>
      <w:r w:rsidR="00E6147A" w:rsidRPr="00076A79">
        <w:rPr>
          <w:rFonts w:cs="Arial"/>
          <w:i w:val="0"/>
          <w:sz w:val="24"/>
          <w:lang w:val="pt-BR"/>
        </w:rPr>
        <w:t xml:space="preserve"> Espectroscopia na região do ultravioleta-visível: para o ligante não foi possível </w:t>
      </w:r>
      <w:proofErr w:type="gramStart"/>
      <w:r w:rsidR="00E6147A" w:rsidRPr="00076A79">
        <w:rPr>
          <w:rFonts w:cs="Arial"/>
          <w:i w:val="0"/>
          <w:sz w:val="24"/>
          <w:lang w:val="pt-BR"/>
        </w:rPr>
        <w:t>a</w:t>
      </w:r>
      <w:proofErr w:type="gramEnd"/>
      <w:r w:rsidR="00E6147A" w:rsidRPr="00076A79">
        <w:rPr>
          <w:rFonts w:cs="Arial"/>
          <w:i w:val="0"/>
          <w:sz w:val="24"/>
          <w:lang w:val="pt-BR"/>
        </w:rPr>
        <w:t xml:space="preserve"> realização desta análise, pois e</w:t>
      </w:r>
      <w:r w:rsidR="00F96F24" w:rsidRPr="00076A79">
        <w:rPr>
          <w:rFonts w:cs="Arial"/>
          <w:i w:val="0"/>
          <w:sz w:val="24"/>
          <w:lang w:val="pt-BR"/>
        </w:rPr>
        <w:t>ste quando dissolvido é incolor.</w:t>
      </w:r>
      <w:r w:rsidR="00E6147A" w:rsidRPr="00076A79">
        <w:rPr>
          <w:rFonts w:cs="Arial"/>
          <w:i w:val="0"/>
          <w:sz w:val="24"/>
          <w:lang w:val="pt-BR"/>
        </w:rPr>
        <w:t xml:space="preserve"> Para o complexo</w:t>
      </w:r>
      <w:r w:rsidR="00076A79">
        <w:rPr>
          <w:rFonts w:cs="Arial"/>
          <w:i w:val="0"/>
          <w:sz w:val="24"/>
          <w:lang w:val="pt-BR"/>
        </w:rPr>
        <w:t xml:space="preserve"> obteve-se duas bandas de absorção, uma em 350 </w:t>
      </w:r>
      <w:proofErr w:type="spellStart"/>
      <w:r w:rsidR="00076A79">
        <w:rPr>
          <w:rFonts w:cs="Arial"/>
          <w:i w:val="0"/>
          <w:sz w:val="24"/>
          <w:lang w:val="pt-BR"/>
        </w:rPr>
        <w:t>nm</w:t>
      </w:r>
      <w:proofErr w:type="spellEnd"/>
      <w:r w:rsidR="00076A79">
        <w:rPr>
          <w:rFonts w:cs="Arial"/>
          <w:i w:val="0"/>
          <w:sz w:val="24"/>
          <w:lang w:val="pt-BR"/>
        </w:rPr>
        <w:t xml:space="preserve"> referente </w:t>
      </w:r>
      <w:proofErr w:type="gramStart"/>
      <w:r w:rsidR="00076A79">
        <w:rPr>
          <w:rFonts w:cs="Arial"/>
          <w:i w:val="0"/>
          <w:sz w:val="24"/>
          <w:lang w:val="pt-BR"/>
        </w:rPr>
        <w:t>a</w:t>
      </w:r>
      <w:proofErr w:type="gramEnd"/>
      <w:r w:rsidR="00076A79">
        <w:rPr>
          <w:rFonts w:cs="Arial"/>
          <w:i w:val="0"/>
          <w:sz w:val="24"/>
          <w:lang w:val="pt-BR"/>
        </w:rPr>
        <w:t xml:space="preserve"> transferência de cargas metal–ligante (TCML)</w:t>
      </w:r>
      <w:r w:rsidR="00941AF4">
        <w:rPr>
          <w:rFonts w:cs="Arial"/>
          <w:i w:val="0"/>
          <w:sz w:val="24"/>
          <w:lang w:val="pt-BR"/>
        </w:rPr>
        <w:t xml:space="preserve">, e outra em 253 </w:t>
      </w:r>
      <w:proofErr w:type="spellStart"/>
      <w:r w:rsidR="00941AF4">
        <w:rPr>
          <w:rFonts w:cs="Arial"/>
          <w:i w:val="0"/>
          <w:sz w:val="24"/>
          <w:lang w:val="pt-BR"/>
        </w:rPr>
        <w:t>nm</w:t>
      </w:r>
      <w:proofErr w:type="spellEnd"/>
      <w:r w:rsidR="00941AF4">
        <w:rPr>
          <w:rFonts w:cs="Arial"/>
          <w:i w:val="0"/>
          <w:sz w:val="24"/>
          <w:lang w:val="pt-BR"/>
        </w:rPr>
        <w:t xml:space="preserve"> (n→π</w:t>
      </w:r>
      <w:r w:rsidR="00941AF4">
        <w:rPr>
          <w:rFonts w:cs="Arial"/>
          <w:i w:val="0"/>
          <w:sz w:val="24"/>
          <w:vertAlign w:val="superscript"/>
          <w:lang w:val="pt-BR"/>
        </w:rPr>
        <w:t>*</w:t>
      </w:r>
      <w:r w:rsidR="00941AF4">
        <w:rPr>
          <w:rFonts w:cs="Arial"/>
          <w:i w:val="0"/>
          <w:sz w:val="24"/>
          <w:lang w:val="pt-BR"/>
        </w:rPr>
        <w:t xml:space="preserve">) referente as </w:t>
      </w:r>
      <w:proofErr w:type="spellStart"/>
      <w:r w:rsidR="00941AF4">
        <w:rPr>
          <w:rFonts w:cs="Arial"/>
          <w:i w:val="0"/>
          <w:sz w:val="24"/>
          <w:lang w:val="pt-BR"/>
        </w:rPr>
        <w:t>carbonilas</w:t>
      </w:r>
      <w:proofErr w:type="spellEnd"/>
      <w:r w:rsidR="00941AF4">
        <w:rPr>
          <w:rFonts w:cs="Arial"/>
          <w:i w:val="0"/>
          <w:sz w:val="24"/>
          <w:lang w:val="pt-BR"/>
        </w:rPr>
        <w:t xml:space="preserve">. </w:t>
      </w:r>
    </w:p>
    <w:p w:rsidR="0082219D" w:rsidRDefault="0082219D" w:rsidP="0029083B">
      <w:pPr>
        <w:pStyle w:val="Ttulodaseoprimria"/>
      </w:pP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9D0723" w:rsidRDefault="00941AF4" w:rsidP="003D0C1D">
      <w:pPr>
        <w:spacing w:line="360" w:lineRule="auto"/>
      </w:pPr>
      <w:r>
        <w:t xml:space="preserve">Após análise </w:t>
      </w:r>
      <w:r w:rsidR="00E6147A">
        <w:t xml:space="preserve">dos dados de infravermelho pode-se deduzir que o ligante atua como </w:t>
      </w:r>
      <w:proofErr w:type="spellStart"/>
      <w:r w:rsidR="00E6147A">
        <w:t>quelante</w:t>
      </w:r>
      <w:proofErr w:type="spellEnd"/>
      <w:r>
        <w:t xml:space="preserve">, coordenando-se ao íon </w:t>
      </w:r>
      <w:proofErr w:type="gramStart"/>
      <w:r>
        <w:t>cobalto</w:t>
      </w:r>
      <w:r w:rsidR="00E6147A">
        <w:t>(</w:t>
      </w:r>
      <w:proofErr w:type="gramEnd"/>
      <w:r w:rsidR="00E6147A">
        <w:t>II) de forma bidentada, a</w:t>
      </w:r>
      <w:r w:rsidR="00F96F24">
        <w:t xml:space="preserve"> partir dos átomos de oxigênio de uma extremidade </w:t>
      </w:r>
      <w:proofErr w:type="spellStart"/>
      <w:r w:rsidR="00F96F24">
        <w:t>carbonílica</w:t>
      </w:r>
      <w:proofErr w:type="spellEnd"/>
      <w:r w:rsidR="00F96F24">
        <w:t xml:space="preserve"> e o oxigênio do grupamento </w:t>
      </w:r>
      <w:proofErr w:type="spellStart"/>
      <w:r w:rsidR="00F96F24">
        <w:t>oxima</w:t>
      </w:r>
      <w:proofErr w:type="spellEnd"/>
      <w:r w:rsidR="00F96F24">
        <w:t xml:space="preserve">, </w:t>
      </w:r>
      <w:r w:rsidR="00E6147A">
        <w:t>que são doadores de elétrons.</w:t>
      </w:r>
      <w:r>
        <w:t xml:space="preserve"> Já através da análise por ultravioleta-visível foi possível observar uma TCML, visto que essa transição ocorre em complexos </w:t>
      </w:r>
      <w:proofErr w:type="gramStart"/>
      <w:r>
        <w:t>cujo ligantes</w:t>
      </w:r>
      <w:proofErr w:type="gramEnd"/>
      <w:r>
        <w:t xml:space="preserve"> são insaturados e ligados a metais transições que sejam oxidáveis.</w:t>
      </w:r>
    </w:p>
    <w:p w:rsidR="00F96F24" w:rsidRDefault="00F96F24" w:rsidP="003D0C1D">
      <w:pPr>
        <w:spacing w:line="360" w:lineRule="auto"/>
      </w:pPr>
    </w:p>
    <w:p w:rsidR="001F61E3" w:rsidRPr="00D8090F" w:rsidRDefault="00941AF4" w:rsidP="00941AF4">
      <w:pPr>
        <w:pStyle w:val="Ttulodaseoprimria"/>
      </w:pPr>
      <w:r>
        <w:t>REFERÊNCIAS</w:t>
      </w:r>
    </w:p>
    <w:p w:rsidR="001F61E3" w:rsidRPr="009A4D7B" w:rsidRDefault="001F61E3" w:rsidP="00F96F24">
      <w:pPr>
        <w:ind w:firstLine="0"/>
        <w:rPr>
          <w:rFonts w:cs="Arial"/>
          <w:b/>
          <w:sz w:val="20"/>
          <w:szCs w:val="20"/>
        </w:rPr>
      </w:pPr>
      <w:r w:rsidRPr="009A4D7B">
        <w:rPr>
          <w:rFonts w:cs="Arial"/>
          <w:sz w:val="20"/>
          <w:szCs w:val="20"/>
        </w:rPr>
        <w:t xml:space="preserve">[1] SOLOMONS, T. W. G.; FRYLHLE, C. B. Química Orgânica. Editora: LTC, </w:t>
      </w:r>
      <w:proofErr w:type="spellStart"/>
      <w:r w:rsidRPr="009A4D7B">
        <w:rPr>
          <w:rFonts w:cs="Arial"/>
          <w:sz w:val="20"/>
          <w:szCs w:val="20"/>
        </w:rPr>
        <w:t>Vol</w:t>
      </w:r>
      <w:proofErr w:type="spellEnd"/>
      <w:r w:rsidRPr="009A4D7B">
        <w:rPr>
          <w:rFonts w:cs="Arial"/>
          <w:sz w:val="20"/>
          <w:szCs w:val="20"/>
        </w:rPr>
        <w:t xml:space="preserve"> </w:t>
      </w:r>
      <w:proofErr w:type="gramStart"/>
      <w:r w:rsidRPr="009A4D7B">
        <w:rPr>
          <w:rFonts w:cs="Arial"/>
          <w:sz w:val="20"/>
          <w:szCs w:val="20"/>
        </w:rPr>
        <w:t>1</w:t>
      </w:r>
      <w:proofErr w:type="gramEnd"/>
      <w:r w:rsidRPr="009A4D7B">
        <w:rPr>
          <w:rFonts w:cs="Arial"/>
          <w:sz w:val="20"/>
          <w:szCs w:val="20"/>
        </w:rPr>
        <w:t xml:space="preserve">, 10ª ed., 698p., </w:t>
      </w:r>
      <w:r w:rsidRPr="009A4D7B">
        <w:rPr>
          <w:rFonts w:cs="Arial"/>
          <w:b/>
          <w:sz w:val="20"/>
          <w:szCs w:val="20"/>
        </w:rPr>
        <w:t>2012</w:t>
      </w:r>
    </w:p>
    <w:p w:rsidR="001F61E3" w:rsidRPr="009A4D7B" w:rsidRDefault="001F61E3" w:rsidP="00F96F2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9A4D7B">
        <w:rPr>
          <w:rFonts w:ascii="Arial" w:hAnsi="Arial" w:cs="Arial"/>
          <w:color w:val="auto"/>
          <w:sz w:val="20"/>
          <w:szCs w:val="20"/>
          <w:lang w:val="en-US"/>
        </w:rPr>
        <w:t xml:space="preserve">[2] CHEN, I-L. </w:t>
      </w:r>
      <w:proofErr w:type="gramStart"/>
      <w:r w:rsidRPr="009A4D7B">
        <w:rPr>
          <w:rFonts w:ascii="Arial" w:hAnsi="Arial" w:cs="Arial"/>
          <w:i/>
          <w:color w:val="auto"/>
          <w:sz w:val="20"/>
          <w:szCs w:val="20"/>
          <w:lang w:val="en-US"/>
        </w:rPr>
        <w:t>et</w:t>
      </w:r>
      <w:proofErr w:type="gramEnd"/>
      <w:r w:rsidRPr="009A4D7B">
        <w:rPr>
          <w:rFonts w:ascii="Arial" w:hAnsi="Arial" w:cs="Arial"/>
          <w:i/>
          <w:color w:val="auto"/>
          <w:sz w:val="20"/>
          <w:szCs w:val="20"/>
          <w:lang w:val="en-US"/>
        </w:rPr>
        <w:t xml:space="preserve"> al.</w:t>
      </w:r>
      <w:r w:rsidRPr="009A4D7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9A4D7B">
        <w:rPr>
          <w:rFonts w:ascii="Arial" w:hAnsi="Arial" w:cs="Arial"/>
          <w:i/>
          <w:color w:val="auto"/>
          <w:sz w:val="20"/>
          <w:szCs w:val="20"/>
          <w:lang w:val="en-US"/>
        </w:rPr>
        <w:t>Bioorganic &amp; Medicinal Chemistry</w:t>
      </w:r>
      <w:r w:rsidRPr="009A4D7B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Pr="009A4D7B">
        <w:rPr>
          <w:rFonts w:ascii="Arial" w:hAnsi="Arial" w:cs="Arial"/>
          <w:color w:val="auto"/>
          <w:sz w:val="20"/>
          <w:szCs w:val="20"/>
          <w:lang w:val="en-US" w:eastAsia="pt-BR"/>
        </w:rPr>
        <w:t xml:space="preserve">15, 6527–6534, </w:t>
      </w:r>
      <w:r w:rsidRPr="009A4D7B">
        <w:rPr>
          <w:rFonts w:ascii="Arial" w:hAnsi="Arial" w:cs="Arial"/>
          <w:b/>
          <w:color w:val="auto"/>
          <w:sz w:val="20"/>
          <w:szCs w:val="20"/>
          <w:lang w:val="en-US" w:eastAsia="pt-BR"/>
        </w:rPr>
        <w:t>2007</w:t>
      </w:r>
      <w:r w:rsidRPr="009A4D7B">
        <w:rPr>
          <w:rFonts w:ascii="Arial" w:hAnsi="Arial" w:cs="Arial"/>
          <w:color w:val="auto"/>
          <w:sz w:val="20"/>
          <w:szCs w:val="20"/>
          <w:lang w:val="en-US" w:eastAsia="pt-BR"/>
        </w:rPr>
        <w:t>.</w:t>
      </w:r>
      <w:r w:rsidRPr="009A4D7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1A10FF" w:rsidRPr="009A4D7B" w:rsidRDefault="001F61E3" w:rsidP="00F96F24">
      <w:pPr>
        <w:pStyle w:val="Default"/>
        <w:jc w:val="both"/>
        <w:rPr>
          <w:sz w:val="20"/>
          <w:szCs w:val="20"/>
          <w:lang w:val="en-US"/>
        </w:rPr>
      </w:pPr>
      <w:r w:rsidRPr="009A4D7B">
        <w:rPr>
          <w:rFonts w:ascii="Arial" w:hAnsi="Arial" w:cs="Arial"/>
          <w:color w:val="auto"/>
          <w:sz w:val="20"/>
          <w:szCs w:val="20"/>
          <w:lang w:val="en-US"/>
        </w:rPr>
        <w:t xml:space="preserve">[3] </w:t>
      </w:r>
      <w:r w:rsidRPr="009A4D7B">
        <w:rPr>
          <w:rFonts w:ascii="Arial" w:hAnsi="Arial" w:cs="Arial"/>
          <w:color w:val="auto"/>
          <w:sz w:val="20"/>
          <w:szCs w:val="20"/>
          <w:lang w:val="en-US" w:eastAsia="pt-BR"/>
        </w:rPr>
        <w:t>ABUSKHUNA, S.</w:t>
      </w:r>
      <w:r w:rsidRPr="009A4D7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9A4D7B">
        <w:rPr>
          <w:rFonts w:ascii="Arial" w:hAnsi="Arial" w:cs="Arial"/>
          <w:i/>
          <w:color w:val="auto"/>
          <w:sz w:val="20"/>
          <w:szCs w:val="20"/>
          <w:lang w:val="en-US"/>
        </w:rPr>
        <w:t>et al.</w:t>
      </w:r>
      <w:r w:rsidRPr="009A4D7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9A4D7B">
        <w:rPr>
          <w:rFonts w:ascii="Arial" w:hAnsi="Arial" w:cs="Arial"/>
          <w:i/>
          <w:color w:val="auto"/>
          <w:sz w:val="20"/>
          <w:szCs w:val="20"/>
          <w:lang w:val="en-US"/>
        </w:rPr>
        <w:t>Polyhedron</w:t>
      </w:r>
      <w:r w:rsidRPr="009A4D7B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Pr="009A4D7B">
        <w:rPr>
          <w:rFonts w:ascii="Arial" w:hAnsi="Arial" w:cs="Arial"/>
          <w:color w:val="auto"/>
          <w:sz w:val="20"/>
          <w:szCs w:val="20"/>
          <w:lang w:val="en-US" w:eastAsia="pt-BR"/>
        </w:rPr>
        <w:t xml:space="preserve">26, 4573-4580, </w:t>
      </w:r>
      <w:r w:rsidRPr="009A4D7B">
        <w:rPr>
          <w:rFonts w:ascii="Arial" w:hAnsi="Arial" w:cs="Arial"/>
          <w:b/>
          <w:color w:val="auto"/>
          <w:sz w:val="20"/>
          <w:szCs w:val="20"/>
          <w:lang w:val="en-US" w:eastAsia="pt-BR"/>
        </w:rPr>
        <w:t>2007</w:t>
      </w:r>
    </w:p>
    <w:sectPr w:rsidR="001A10FF" w:rsidRPr="009A4D7B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26" w:rsidRDefault="00900626" w:rsidP="00B11590">
      <w:r>
        <w:separator/>
      </w:r>
    </w:p>
  </w:endnote>
  <w:endnote w:type="continuationSeparator" w:id="0">
    <w:p w:rsidR="00900626" w:rsidRDefault="00900626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26" w:rsidRDefault="00900626" w:rsidP="00B11590">
      <w:r>
        <w:separator/>
      </w:r>
    </w:p>
  </w:footnote>
  <w:footnote w:type="continuationSeparator" w:id="0">
    <w:p w:rsidR="00900626" w:rsidRDefault="00900626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76A79"/>
    <w:rsid w:val="000F630E"/>
    <w:rsid w:val="0012354B"/>
    <w:rsid w:val="001247BE"/>
    <w:rsid w:val="00125006"/>
    <w:rsid w:val="00133502"/>
    <w:rsid w:val="00185FE1"/>
    <w:rsid w:val="001A10FF"/>
    <w:rsid w:val="001C7B8C"/>
    <w:rsid w:val="001C7EAD"/>
    <w:rsid w:val="001E496B"/>
    <w:rsid w:val="001F61E3"/>
    <w:rsid w:val="00203D0A"/>
    <w:rsid w:val="0024774D"/>
    <w:rsid w:val="0029083B"/>
    <w:rsid w:val="002A0855"/>
    <w:rsid w:val="002A7A57"/>
    <w:rsid w:val="002C65D4"/>
    <w:rsid w:val="002D7732"/>
    <w:rsid w:val="002F5A4E"/>
    <w:rsid w:val="003139BE"/>
    <w:rsid w:val="003220E0"/>
    <w:rsid w:val="003C0392"/>
    <w:rsid w:val="003D0C1D"/>
    <w:rsid w:val="00404CF9"/>
    <w:rsid w:val="00450C0F"/>
    <w:rsid w:val="00493589"/>
    <w:rsid w:val="004F703B"/>
    <w:rsid w:val="004F7A69"/>
    <w:rsid w:val="005041E7"/>
    <w:rsid w:val="00520FB9"/>
    <w:rsid w:val="005405F9"/>
    <w:rsid w:val="005509F8"/>
    <w:rsid w:val="005A2FCE"/>
    <w:rsid w:val="005B0CEB"/>
    <w:rsid w:val="00634377"/>
    <w:rsid w:val="00661A2E"/>
    <w:rsid w:val="00677EF7"/>
    <w:rsid w:val="00680D96"/>
    <w:rsid w:val="006A4184"/>
    <w:rsid w:val="006A4C88"/>
    <w:rsid w:val="006D13CE"/>
    <w:rsid w:val="006F1A5E"/>
    <w:rsid w:val="0070021A"/>
    <w:rsid w:val="00702A25"/>
    <w:rsid w:val="00711AA3"/>
    <w:rsid w:val="00724A7E"/>
    <w:rsid w:val="00731B6A"/>
    <w:rsid w:val="00756962"/>
    <w:rsid w:val="007C2D07"/>
    <w:rsid w:val="0082219D"/>
    <w:rsid w:val="00867B9B"/>
    <w:rsid w:val="00900626"/>
    <w:rsid w:val="00941544"/>
    <w:rsid w:val="00941AF4"/>
    <w:rsid w:val="0095669E"/>
    <w:rsid w:val="00976A10"/>
    <w:rsid w:val="009A4D7B"/>
    <w:rsid w:val="009A61E0"/>
    <w:rsid w:val="009B0959"/>
    <w:rsid w:val="009D0723"/>
    <w:rsid w:val="009F1118"/>
    <w:rsid w:val="009F3F59"/>
    <w:rsid w:val="00A348BA"/>
    <w:rsid w:val="00A56E01"/>
    <w:rsid w:val="00A64F86"/>
    <w:rsid w:val="00A724D3"/>
    <w:rsid w:val="00A756D1"/>
    <w:rsid w:val="00A771C1"/>
    <w:rsid w:val="00A802B0"/>
    <w:rsid w:val="00AF19F7"/>
    <w:rsid w:val="00B11590"/>
    <w:rsid w:val="00B202C1"/>
    <w:rsid w:val="00B54C48"/>
    <w:rsid w:val="00B84DA7"/>
    <w:rsid w:val="00BE7921"/>
    <w:rsid w:val="00BE7CDE"/>
    <w:rsid w:val="00C16DD6"/>
    <w:rsid w:val="00C22511"/>
    <w:rsid w:val="00C341B4"/>
    <w:rsid w:val="00C47B84"/>
    <w:rsid w:val="00C950B7"/>
    <w:rsid w:val="00CC3E16"/>
    <w:rsid w:val="00CF1B19"/>
    <w:rsid w:val="00D141AD"/>
    <w:rsid w:val="00D25A87"/>
    <w:rsid w:val="00D43862"/>
    <w:rsid w:val="00D740C6"/>
    <w:rsid w:val="00D753F3"/>
    <w:rsid w:val="00D91F7B"/>
    <w:rsid w:val="00DD1B99"/>
    <w:rsid w:val="00DE1B01"/>
    <w:rsid w:val="00DE6963"/>
    <w:rsid w:val="00E10B97"/>
    <w:rsid w:val="00E43C18"/>
    <w:rsid w:val="00E55F14"/>
    <w:rsid w:val="00E6147A"/>
    <w:rsid w:val="00E83ACD"/>
    <w:rsid w:val="00EA51E0"/>
    <w:rsid w:val="00EB13F7"/>
    <w:rsid w:val="00EC405C"/>
    <w:rsid w:val="00EE6145"/>
    <w:rsid w:val="00EF18C9"/>
    <w:rsid w:val="00F32619"/>
    <w:rsid w:val="00F34C67"/>
    <w:rsid w:val="00F56270"/>
    <w:rsid w:val="00F56840"/>
    <w:rsid w:val="00F65AE9"/>
    <w:rsid w:val="00F96F24"/>
    <w:rsid w:val="00FB279D"/>
    <w:rsid w:val="00FB3E05"/>
    <w:rsid w:val="00FC60AE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1F6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1F6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1F94-B36B-47D4-83B4-7BCCB456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Bruna Lisboa</cp:lastModifiedBy>
  <cp:revision>5</cp:revision>
  <cp:lastPrinted>2013-05-31T18:34:00Z</cp:lastPrinted>
  <dcterms:created xsi:type="dcterms:W3CDTF">2014-07-01T17:27:00Z</dcterms:created>
  <dcterms:modified xsi:type="dcterms:W3CDTF">2014-07-08T01:12:00Z</dcterms:modified>
</cp:coreProperties>
</file>